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436FBE" w14:textId="06677FEB" w:rsidR="00E90E49" w:rsidRPr="00521A4E" w:rsidRDefault="00E90E49" w:rsidP="007E3B07">
      <w:pPr>
        <w:pStyle w:val="3GPPHeader"/>
        <w:spacing w:after="60"/>
        <w:rPr>
          <w:sz w:val="32"/>
          <w:szCs w:val="32"/>
          <w:highlight w:val="yellow"/>
        </w:rPr>
      </w:pPr>
      <w:r w:rsidRPr="00521A4E">
        <w:t>3GPP TSG-RAN WG</w:t>
      </w:r>
      <w:r w:rsidR="008F1C4E" w:rsidRPr="00521A4E">
        <w:t>1</w:t>
      </w:r>
      <w:r w:rsidRPr="00521A4E">
        <w:t xml:space="preserve"> </w:t>
      </w:r>
      <w:r w:rsidR="008F1C4E" w:rsidRPr="00521A4E">
        <w:t xml:space="preserve">Meeting </w:t>
      </w:r>
      <w:r w:rsidRPr="00521A4E">
        <w:t>#</w:t>
      </w:r>
      <w:r w:rsidR="00D66AD1" w:rsidRPr="00521A4E">
        <w:t>10</w:t>
      </w:r>
      <w:r w:rsidR="000A0D01" w:rsidRPr="00521A4E">
        <w:t>7</w:t>
      </w:r>
      <w:r w:rsidR="00C14AD2" w:rsidRPr="00521A4E">
        <w:t>-e</w:t>
      </w:r>
      <w:r w:rsidRPr="00521A4E">
        <w:tab/>
      </w:r>
      <w:bookmarkStart w:id="0" w:name="_Hlk83991978"/>
      <w:r w:rsidR="00091557" w:rsidRPr="00521A4E">
        <w:rPr>
          <w:sz w:val="32"/>
          <w:szCs w:val="32"/>
        </w:rPr>
        <w:t>R</w:t>
      </w:r>
      <w:r w:rsidR="008F1C4E" w:rsidRPr="00521A4E">
        <w:rPr>
          <w:sz w:val="32"/>
          <w:szCs w:val="32"/>
        </w:rPr>
        <w:t>1</w:t>
      </w:r>
      <w:r w:rsidR="00091557" w:rsidRPr="00521A4E">
        <w:rPr>
          <w:sz w:val="32"/>
          <w:szCs w:val="32"/>
        </w:rPr>
        <w:t>-</w:t>
      </w:r>
      <w:bookmarkEnd w:id="0"/>
      <w:r w:rsidR="007F3437" w:rsidRPr="00521A4E">
        <w:rPr>
          <w:sz w:val="32"/>
          <w:szCs w:val="32"/>
        </w:rPr>
        <w:t>21</w:t>
      </w:r>
      <w:r w:rsidR="00D801F4" w:rsidRPr="00521A4E">
        <w:rPr>
          <w:sz w:val="32"/>
          <w:szCs w:val="32"/>
        </w:rPr>
        <w:t>12356</w:t>
      </w:r>
    </w:p>
    <w:p w14:paraId="13227BD5" w14:textId="599BEBA7" w:rsidR="00E90E49" w:rsidRPr="00521A4E" w:rsidRDefault="00C14AD2" w:rsidP="007E3B07">
      <w:pPr>
        <w:pStyle w:val="3GPPHeader"/>
      </w:pPr>
      <w:r w:rsidRPr="00521A4E">
        <w:t>Online</w:t>
      </w:r>
      <w:r w:rsidR="0027144F" w:rsidRPr="00521A4E">
        <w:t xml:space="preserve">, </w:t>
      </w:r>
      <w:r w:rsidR="00C87126" w:rsidRPr="00521A4E">
        <w:t>November</w:t>
      </w:r>
      <w:r w:rsidR="0027144F" w:rsidRPr="00521A4E">
        <w:t xml:space="preserve"> </w:t>
      </w:r>
      <w:r w:rsidR="000A0D01" w:rsidRPr="00521A4E">
        <w:t>11</w:t>
      </w:r>
      <w:r w:rsidR="001D53E7" w:rsidRPr="00521A4E">
        <w:rPr>
          <w:vertAlign w:val="superscript"/>
        </w:rPr>
        <w:t>th</w:t>
      </w:r>
      <w:r w:rsidR="001D53E7" w:rsidRPr="00521A4E">
        <w:t xml:space="preserve"> – </w:t>
      </w:r>
      <w:r w:rsidR="000A0D01" w:rsidRPr="00521A4E">
        <w:t>19</w:t>
      </w:r>
      <w:r w:rsidR="001D53E7" w:rsidRPr="00521A4E">
        <w:rPr>
          <w:vertAlign w:val="superscript"/>
        </w:rPr>
        <w:t>th</w:t>
      </w:r>
      <w:r w:rsidR="00C37CB2" w:rsidRPr="00521A4E">
        <w:t xml:space="preserve"> </w:t>
      </w:r>
      <w:r w:rsidR="0027144F" w:rsidRPr="00521A4E">
        <w:t>20</w:t>
      </w:r>
      <w:r w:rsidRPr="00521A4E">
        <w:t>21</w:t>
      </w:r>
    </w:p>
    <w:p w14:paraId="2CF55502" w14:textId="77777777" w:rsidR="00E90E49" w:rsidRPr="00521A4E" w:rsidRDefault="00E90E49" w:rsidP="007E3B07">
      <w:pPr>
        <w:pStyle w:val="3GPPHeader"/>
      </w:pPr>
    </w:p>
    <w:p w14:paraId="5ACB08E0" w14:textId="52C1907E" w:rsidR="00E90E49" w:rsidRPr="00521A4E" w:rsidRDefault="00E90E49" w:rsidP="007E3B07">
      <w:pPr>
        <w:pStyle w:val="3GPPHeader"/>
        <w:rPr>
          <w:sz w:val="22"/>
        </w:rPr>
      </w:pPr>
      <w:r w:rsidRPr="00521A4E">
        <w:rPr>
          <w:sz w:val="22"/>
        </w:rPr>
        <w:t>Agenda Item:</w:t>
      </w:r>
      <w:r w:rsidRPr="00521A4E">
        <w:rPr>
          <w:sz w:val="22"/>
        </w:rPr>
        <w:tab/>
      </w:r>
      <w:r w:rsidR="00C14AD2" w:rsidRPr="00521A4E">
        <w:rPr>
          <w:sz w:val="22"/>
        </w:rPr>
        <w:t>8.10.1</w:t>
      </w:r>
    </w:p>
    <w:p w14:paraId="3A206516" w14:textId="77777777" w:rsidR="00E90E49" w:rsidRPr="00521A4E" w:rsidRDefault="003D3C45" w:rsidP="007E3B07">
      <w:pPr>
        <w:pStyle w:val="3GPPHeader"/>
        <w:rPr>
          <w:sz w:val="22"/>
        </w:rPr>
      </w:pPr>
      <w:r w:rsidRPr="00521A4E">
        <w:rPr>
          <w:sz w:val="22"/>
        </w:rPr>
        <w:t>Source:</w:t>
      </w:r>
      <w:r w:rsidR="00E90E49" w:rsidRPr="00521A4E">
        <w:rPr>
          <w:sz w:val="22"/>
        </w:rPr>
        <w:tab/>
      </w:r>
      <w:r w:rsidR="00F64C2B" w:rsidRPr="00521A4E">
        <w:rPr>
          <w:sz w:val="22"/>
        </w:rPr>
        <w:t>Ericsson</w:t>
      </w:r>
    </w:p>
    <w:p w14:paraId="07D2C7C6" w14:textId="4BA30202" w:rsidR="00E90E49" w:rsidRPr="00521A4E" w:rsidRDefault="003D3C45" w:rsidP="007E3B07">
      <w:pPr>
        <w:pStyle w:val="3GPPHeader"/>
        <w:rPr>
          <w:sz w:val="22"/>
        </w:rPr>
      </w:pPr>
      <w:r w:rsidRPr="00521A4E">
        <w:rPr>
          <w:sz w:val="22"/>
        </w:rPr>
        <w:t>Title:</w:t>
      </w:r>
      <w:r w:rsidR="00E90E49" w:rsidRPr="00521A4E">
        <w:rPr>
          <w:sz w:val="22"/>
        </w:rPr>
        <w:tab/>
      </w:r>
      <w:r w:rsidR="00C14AD2" w:rsidRPr="00521A4E">
        <w:rPr>
          <w:sz w:val="22"/>
        </w:rPr>
        <w:t xml:space="preserve">Resource multiplexing </w:t>
      </w:r>
      <w:r w:rsidR="00084E9E" w:rsidRPr="00521A4E">
        <w:rPr>
          <w:sz w:val="22"/>
        </w:rPr>
        <w:t xml:space="preserve">and RRC </w:t>
      </w:r>
      <w:r w:rsidR="00C14AD2" w:rsidRPr="00521A4E">
        <w:rPr>
          <w:sz w:val="22"/>
        </w:rPr>
        <w:t>in enhanced IAB</w:t>
      </w:r>
    </w:p>
    <w:p w14:paraId="3C46B50C" w14:textId="77777777" w:rsidR="00E90E49" w:rsidRPr="00521A4E" w:rsidRDefault="00E90E49" w:rsidP="007E3B07">
      <w:pPr>
        <w:pStyle w:val="3GPPHeader"/>
        <w:rPr>
          <w:sz w:val="22"/>
        </w:rPr>
      </w:pPr>
      <w:r w:rsidRPr="00521A4E">
        <w:rPr>
          <w:sz w:val="22"/>
        </w:rPr>
        <w:t>Document for:</w:t>
      </w:r>
      <w:r w:rsidRPr="00521A4E">
        <w:rPr>
          <w:sz w:val="22"/>
        </w:rPr>
        <w:tab/>
        <w:t>Discussion, Decision</w:t>
      </w:r>
    </w:p>
    <w:p w14:paraId="7F9C5716" w14:textId="77777777" w:rsidR="00E90E49" w:rsidRPr="00521A4E" w:rsidRDefault="00E90E49" w:rsidP="007E3B07">
      <w:pPr>
        <w:jc w:val="both"/>
      </w:pPr>
    </w:p>
    <w:p w14:paraId="4B2B8E46" w14:textId="3C931CD0" w:rsidR="00124626" w:rsidRPr="00521A4E" w:rsidRDefault="00124626" w:rsidP="007E3B07">
      <w:pPr>
        <w:pStyle w:val="Heading1"/>
        <w:jc w:val="both"/>
        <w:rPr>
          <w:lang w:val="en-US"/>
        </w:rPr>
      </w:pPr>
      <w:r w:rsidRPr="00521A4E">
        <w:rPr>
          <w:lang w:val="en-US"/>
        </w:rPr>
        <w:t>Introduction</w:t>
      </w:r>
    </w:p>
    <w:p w14:paraId="49C74EF3" w14:textId="1E3C849A" w:rsidR="00CF7B42" w:rsidRPr="00521A4E" w:rsidRDefault="00BD673D" w:rsidP="007E3B07">
      <w:pPr>
        <w:pStyle w:val="BodyText"/>
      </w:pPr>
      <w:bookmarkStart w:id="1" w:name="_Hlk74596809"/>
      <w:r w:rsidRPr="00521A4E">
        <w:rPr>
          <w:rFonts w:cs="Arial"/>
          <w:szCs w:val="20"/>
        </w:rPr>
        <w:t xml:space="preserve">The WID for enhanced IAB specifies the following </w:t>
      </w:r>
      <w:r w:rsidR="00CF7B42" w:rsidRPr="00521A4E">
        <w:rPr>
          <w:rFonts w:cs="Arial"/>
          <w:szCs w:val="20"/>
        </w:rPr>
        <w:t xml:space="preserve">objectives of IAB work item regarding resource multiplexing </w:t>
      </w:r>
      <w:r w:rsidR="00CF7B42" w:rsidRPr="00521A4E">
        <w:rPr>
          <w:rFonts w:cs="Arial"/>
          <w:szCs w:val="20"/>
        </w:rPr>
        <w:fldChar w:fldCharType="begin"/>
      </w:r>
      <w:r w:rsidR="00CF7B42" w:rsidRPr="00521A4E">
        <w:rPr>
          <w:rFonts w:cs="Arial"/>
          <w:szCs w:val="20"/>
        </w:rPr>
        <w:instrText xml:space="preserve"> REF _Ref534962701 \r \h  \* MERGEFORMAT </w:instrText>
      </w:r>
      <w:r w:rsidR="00CF7B42" w:rsidRPr="00521A4E">
        <w:rPr>
          <w:rFonts w:cs="Arial"/>
          <w:szCs w:val="20"/>
        </w:rPr>
      </w:r>
      <w:r w:rsidR="00CF7B42" w:rsidRPr="00521A4E">
        <w:rPr>
          <w:rFonts w:cs="Arial"/>
          <w:szCs w:val="20"/>
        </w:rPr>
        <w:fldChar w:fldCharType="separate"/>
      </w:r>
      <w:r w:rsidR="00F201E9">
        <w:rPr>
          <w:rFonts w:cs="Arial"/>
          <w:szCs w:val="20"/>
        </w:rPr>
        <w:t>[1]</w:t>
      </w:r>
      <w:r w:rsidR="00CF7B42" w:rsidRPr="00521A4E">
        <w:rPr>
          <w:rFonts w:cs="Arial"/>
          <w:szCs w:val="20"/>
        </w:rPr>
        <w:fldChar w:fldCharType="end"/>
      </w:r>
      <w:r w:rsidR="00CF7B42" w:rsidRPr="00521A4E">
        <w:rPr>
          <w:rFonts w:cs="Arial"/>
          <w:szCs w:val="20"/>
        </w:rPr>
        <w:t>:</w:t>
      </w:r>
    </w:p>
    <w:tbl>
      <w:tblPr>
        <w:tblStyle w:val="TableGrid"/>
        <w:tblW w:w="0" w:type="auto"/>
        <w:tblLook w:val="04A0" w:firstRow="1" w:lastRow="0" w:firstColumn="1" w:lastColumn="0" w:noHBand="0" w:noVBand="1"/>
      </w:tblPr>
      <w:tblGrid>
        <w:gridCol w:w="9629"/>
      </w:tblGrid>
      <w:tr w:rsidR="00550A54" w:rsidRPr="00521A4E" w14:paraId="3772B9F3" w14:textId="77777777" w:rsidTr="00550A54">
        <w:tc>
          <w:tcPr>
            <w:tcW w:w="9629" w:type="dxa"/>
          </w:tcPr>
          <w:p w14:paraId="6C62E600" w14:textId="77777777" w:rsidR="00550A54" w:rsidRPr="00521A4E" w:rsidRDefault="00550A54" w:rsidP="007E3B07">
            <w:pPr>
              <w:pStyle w:val="BodyText"/>
              <w:rPr>
                <w:sz w:val="20"/>
                <w:szCs w:val="20"/>
              </w:rPr>
            </w:pPr>
            <w:r w:rsidRPr="00521A4E">
              <w:rPr>
                <w:sz w:val="20"/>
                <w:szCs w:val="20"/>
              </w:rPr>
              <w:t>Specification of enhancements to the resource multiplexing between child and parent links of an IAB node, including:</w:t>
            </w:r>
          </w:p>
          <w:p w14:paraId="1657FA16" w14:textId="77777777" w:rsidR="00550A54" w:rsidRPr="00521A4E" w:rsidRDefault="00550A54" w:rsidP="007E3B07">
            <w:pPr>
              <w:pStyle w:val="BodyText"/>
              <w:numPr>
                <w:ilvl w:val="0"/>
                <w:numId w:val="13"/>
              </w:numPr>
              <w:rPr>
                <w:sz w:val="20"/>
                <w:szCs w:val="20"/>
              </w:rPr>
            </w:pPr>
            <w:r w:rsidRPr="00521A4E">
              <w:rPr>
                <w:sz w:val="20"/>
                <w:szCs w:val="20"/>
              </w:rPr>
              <w:t>Support of simultaneous operation (transmission and/or reception) of IAB-node’s child and parent links (i.e., MT Tx/DU Tx, MT Tx/DU Rx, MT Rx/DU Tx, MT Rx/DU Rx).</w:t>
            </w:r>
          </w:p>
          <w:p w14:paraId="7DEE3BA2" w14:textId="75CB6113" w:rsidR="00550A54" w:rsidRPr="00521A4E" w:rsidRDefault="00550A54" w:rsidP="007E3B07">
            <w:pPr>
              <w:pStyle w:val="BodyText"/>
              <w:numPr>
                <w:ilvl w:val="0"/>
                <w:numId w:val="13"/>
              </w:numPr>
            </w:pPr>
            <w:r w:rsidRPr="00521A4E">
              <w:rPr>
                <w:sz w:val="20"/>
                <w:szCs w:val="20"/>
              </w:rPr>
              <w:t>Support for dual-connectivity scenarios defined by RAN2/RAN3 in the context of topology redundancy for improved robustness and load balancing.</w:t>
            </w:r>
          </w:p>
        </w:tc>
      </w:tr>
    </w:tbl>
    <w:p w14:paraId="7BDE5DEE" w14:textId="293C2009" w:rsidR="00124626" w:rsidRPr="00521A4E" w:rsidRDefault="009D0115" w:rsidP="007E3B07">
      <w:pPr>
        <w:pStyle w:val="BodyText"/>
        <w:spacing w:before="240"/>
        <w:rPr>
          <w:rFonts w:cs="Arial"/>
          <w:szCs w:val="20"/>
        </w:rPr>
      </w:pPr>
      <w:bookmarkStart w:id="2" w:name="_Hlk83990518"/>
      <w:r w:rsidRPr="00521A4E">
        <w:rPr>
          <w:rFonts w:cs="Arial"/>
          <w:szCs w:val="20"/>
        </w:rPr>
        <w:t xml:space="preserve">In this contribution, we present our views on the potential enhancements to IAB-DU and IAB-MT multiplexing configurations, regarding </w:t>
      </w:r>
      <w:bookmarkStart w:id="3" w:name="_Hlk83990583"/>
      <w:r w:rsidRPr="00521A4E">
        <w:rPr>
          <w:rFonts w:cs="Arial"/>
          <w:szCs w:val="20"/>
        </w:rPr>
        <w:t>simultaneous operations and the dual-parent scenarios</w:t>
      </w:r>
      <w:bookmarkEnd w:id="3"/>
      <w:r w:rsidRPr="00521A4E">
        <w:rPr>
          <w:rFonts w:cs="Arial"/>
          <w:szCs w:val="20"/>
        </w:rPr>
        <w:t xml:space="preserve">. Please see </w:t>
      </w:r>
      <w:r w:rsidRPr="00521A4E">
        <w:rPr>
          <w:rFonts w:cs="Arial"/>
          <w:szCs w:val="20"/>
        </w:rPr>
        <w:fldChar w:fldCharType="begin"/>
      </w:r>
      <w:r w:rsidRPr="00521A4E">
        <w:rPr>
          <w:rFonts w:cs="Arial"/>
          <w:szCs w:val="20"/>
        </w:rPr>
        <w:instrText xml:space="preserve"> REF _Ref70113715 \r \h  \* MERGEFORMAT </w:instrText>
      </w:r>
      <w:r w:rsidRPr="00521A4E">
        <w:rPr>
          <w:rFonts w:cs="Arial"/>
          <w:szCs w:val="20"/>
        </w:rPr>
      </w:r>
      <w:r w:rsidRPr="00521A4E">
        <w:rPr>
          <w:rFonts w:cs="Arial"/>
          <w:szCs w:val="20"/>
        </w:rPr>
        <w:fldChar w:fldCharType="separate"/>
      </w:r>
      <w:r w:rsidR="00F201E9">
        <w:rPr>
          <w:rFonts w:cs="Arial"/>
          <w:szCs w:val="20"/>
        </w:rPr>
        <w:t>[2]</w:t>
      </w:r>
      <w:r w:rsidRPr="00521A4E">
        <w:rPr>
          <w:rFonts w:cs="Arial"/>
          <w:szCs w:val="20"/>
        </w:rPr>
        <w:fldChar w:fldCharType="end"/>
      </w:r>
      <w:r w:rsidRPr="00521A4E">
        <w:rPr>
          <w:rFonts w:cs="Arial"/>
          <w:szCs w:val="20"/>
        </w:rPr>
        <w:t xml:space="preserve"> for our accompanying contribution discussing timing, interference</w:t>
      </w:r>
      <w:r w:rsidR="00362C8E" w:rsidRPr="00521A4E">
        <w:rPr>
          <w:rFonts w:cs="Arial"/>
          <w:szCs w:val="20"/>
        </w:rPr>
        <w:t>,</w:t>
      </w:r>
      <w:r w:rsidRPr="00521A4E">
        <w:rPr>
          <w:rFonts w:cs="Arial"/>
          <w:szCs w:val="20"/>
        </w:rPr>
        <w:t xml:space="preserve"> and power control for the agreed simultaneous operation cases. Furthermore, in</w:t>
      </w:r>
      <w:r w:rsidR="008320FD" w:rsidRPr="00521A4E">
        <w:rPr>
          <w:rFonts w:cs="Arial"/>
          <w:szCs w:val="20"/>
        </w:rPr>
        <w:t xml:space="preserve"> </w:t>
      </w:r>
      <w:r w:rsidR="008320FD" w:rsidRPr="00521A4E">
        <w:rPr>
          <w:rFonts w:cs="Arial"/>
          <w:szCs w:val="20"/>
        </w:rPr>
        <w:fldChar w:fldCharType="begin"/>
      </w:r>
      <w:r w:rsidR="008320FD" w:rsidRPr="00521A4E">
        <w:rPr>
          <w:rFonts w:cs="Arial"/>
          <w:szCs w:val="20"/>
        </w:rPr>
        <w:instrText xml:space="preserve"> REF _Ref71616395 \r \h </w:instrText>
      </w:r>
      <w:r w:rsidR="00AA3979" w:rsidRPr="00521A4E">
        <w:rPr>
          <w:rFonts w:cs="Arial"/>
          <w:szCs w:val="20"/>
        </w:rPr>
        <w:instrText xml:space="preserve"> \* MERGEFORMAT </w:instrText>
      </w:r>
      <w:r w:rsidR="008320FD" w:rsidRPr="00521A4E">
        <w:rPr>
          <w:rFonts w:cs="Arial"/>
          <w:szCs w:val="20"/>
        </w:rPr>
      </w:r>
      <w:r w:rsidR="008320FD" w:rsidRPr="00521A4E">
        <w:rPr>
          <w:rFonts w:cs="Arial"/>
          <w:szCs w:val="20"/>
        </w:rPr>
        <w:fldChar w:fldCharType="separate"/>
      </w:r>
      <w:r w:rsidR="00F201E9">
        <w:rPr>
          <w:rFonts w:cs="Arial"/>
          <w:szCs w:val="20"/>
        </w:rPr>
        <w:t>[3]</w:t>
      </w:r>
      <w:r w:rsidR="008320FD" w:rsidRPr="00521A4E">
        <w:rPr>
          <w:rFonts w:cs="Arial"/>
          <w:szCs w:val="20"/>
        </w:rPr>
        <w:fldChar w:fldCharType="end"/>
      </w:r>
      <w:r w:rsidRPr="00521A4E">
        <w:rPr>
          <w:rFonts w:cs="Arial"/>
          <w:szCs w:val="20"/>
        </w:rPr>
        <w:t>, we</w:t>
      </w:r>
      <w:r w:rsidR="005D2BFC" w:rsidRPr="00521A4E">
        <w:rPr>
          <w:rFonts w:cs="Arial"/>
          <w:szCs w:val="20"/>
        </w:rPr>
        <w:t xml:space="preserve"> </w:t>
      </w:r>
      <w:r w:rsidR="000A2CE8" w:rsidRPr="00521A4E">
        <w:rPr>
          <w:rFonts w:cs="Arial"/>
          <w:szCs w:val="20"/>
        </w:rPr>
        <w:t>discuss</w:t>
      </w:r>
      <w:r w:rsidR="005D2BFC" w:rsidRPr="00521A4E">
        <w:rPr>
          <w:rFonts w:cs="Arial"/>
          <w:szCs w:val="20"/>
        </w:rPr>
        <w:t xml:space="preserve"> about what should be prioritized in the last meeting in order to be as successful as possible with the objectives in both agenda item 8.10.1 and 8.10.2</w:t>
      </w:r>
      <w:r w:rsidR="00A20CEC" w:rsidRPr="00521A4E">
        <w:rPr>
          <w:rFonts w:cs="Arial"/>
          <w:szCs w:val="20"/>
        </w:rPr>
        <w:t>.</w:t>
      </w:r>
      <w:bookmarkEnd w:id="1"/>
      <w:bookmarkEnd w:id="2"/>
    </w:p>
    <w:p w14:paraId="483AA0FF" w14:textId="77777777" w:rsidR="00124626" w:rsidRPr="00521A4E" w:rsidRDefault="00124626" w:rsidP="007E3B07">
      <w:pPr>
        <w:pStyle w:val="Heading1"/>
        <w:jc w:val="both"/>
        <w:rPr>
          <w:lang w:val="en-US"/>
        </w:rPr>
      </w:pPr>
      <w:r w:rsidRPr="00521A4E">
        <w:rPr>
          <w:lang w:val="en-US"/>
        </w:rPr>
        <w:t>Resource multiplexing</w:t>
      </w:r>
    </w:p>
    <w:p w14:paraId="0C3F3E45" w14:textId="49ED960F" w:rsidR="00124626" w:rsidRPr="00521A4E" w:rsidRDefault="00124626" w:rsidP="007E3B07">
      <w:pPr>
        <w:pStyle w:val="Heading2"/>
        <w:jc w:val="both"/>
        <w:rPr>
          <w:lang w:val="en-US"/>
        </w:rPr>
      </w:pPr>
      <w:r w:rsidRPr="00521A4E">
        <w:rPr>
          <w:lang w:val="en-US"/>
        </w:rPr>
        <w:t>FDM-based simultaneous operation</w:t>
      </w:r>
    </w:p>
    <w:p w14:paraId="39F66768" w14:textId="73143042" w:rsidR="00516065" w:rsidRPr="00521A4E" w:rsidRDefault="00516065" w:rsidP="007E3B07">
      <w:pPr>
        <w:jc w:val="both"/>
        <w:rPr>
          <w:rFonts w:cs="Arial"/>
          <w:szCs w:val="20"/>
          <w:lang w:eastAsia="ja-JP"/>
        </w:rPr>
      </w:pPr>
      <w:bookmarkStart w:id="4" w:name="_Hlk74596840"/>
      <w:r w:rsidRPr="00521A4E">
        <w:rPr>
          <w:rFonts w:cs="Arial"/>
          <w:szCs w:val="20"/>
          <w:lang w:eastAsia="ja-JP"/>
        </w:rPr>
        <w:t xml:space="preserve">Frequency domain multiplexing of IAB-DU and IAB-MT is an advantageous simultaneous operation which can provide greater network flexibility, reduced latency and enhanced CLI management. </w:t>
      </w:r>
      <w:r w:rsidR="00AC0B2A" w:rsidRPr="00521A4E">
        <w:rPr>
          <w:rFonts w:cs="Arial"/>
          <w:szCs w:val="20"/>
          <w:lang w:eastAsia="ja-JP"/>
        </w:rPr>
        <w:t xml:space="preserve">In IAB FDM operation, spectrum will be </w:t>
      </w:r>
      <w:r w:rsidRPr="00521A4E">
        <w:rPr>
          <w:rFonts w:cs="Arial"/>
          <w:szCs w:val="20"/>
          <w:lang w:eastAsia="ja-JP"/>
        </w:rPr>
        <w:t>coordinate</w:t>
      </w:r>
      <w:r w:rsidR="00AC0B2A" w:rsidRPr="00521A4E">
        <w:rPr>
          <w:rFonts w:cs="Arial"/>
          <w:szCs w:val="20"/>
          <w:lang w:eastAsia="ja-JP"/>
        </w:rPr>
        <w:t>d to</w:t>
      </w:r>
      <w:r w:rsidRPr="00521A4E">
        <w:rPr>
          <w:rFonts w:cs="Arial"/>
          <w:szCs w:val="20"/>
          <w:lang w:eastAsia="ja-JP"/>
        </w:rPr>
        <w:t xml:space="preserve"> allow for simultaneous IAB-MT and IAB-DU </w:t>
      </w:r>
      <w:r w:rsidRPr="00521A4E" w:rsidDel="00A030F5">
        <w:rPr>
          <w:rFonts w:cs="Arial"/>
          <w:szCs w:val="20"/>
          <w:lang w:eastAsia="ja-JP"/>
        </w:rPr>
        <w:t>operation.</w:t>
      </w:r>
      <w:r w:rsidRPr="00521A4E">
        <w:rPr>
          <w:rFonts w:cs="Arial"/>
          <w:szCs w:val="20"/>
          <w:lang w:eastAsia="ja-JP"/>
        </w:rPr>
        <w:t xml:space="preserve"> </w:t>
      </w:r>
    </w:p>
    <w:p w14:paraId="3CE9DE24" w14:textId="2B73F886" w:rsidR="00516065" w:rsidRPr="00521A4E" w:rsidRDefault="00516065" w:rsidP="007E3B07">
      <w:pPr>
        <w:jc w:val="both"/>
        <w:rPr>
          <w:rFonts w:cs="Arial"/>
          <w:szCs w:val="20"/>
        </w:rPr>
      </w:pPr>
      <w:r w:rsidRPr="00521A4E">
        <w:rPr>
          <w:rFonts w:cs="Arial"/>
          <w:szCs w:val="20"/>
        </w:rPr>
        <w:t>In RAN1#10</w:t>
      </w:r>
      <w:r w:rsidR="00F5171F" w:rsidRPr="00521A4E">
        <w:rPr>
          <w:rFonts w:cs="Arial"/>
          <w:szCs w:val="20"/>
        </w:rPr>
        <w:t>6</w:t>
      </w:r>
      <w:r w:rsidR="00934831" w:rsidRPr="00521A4E">
        <w:rPr>
          <w:rFonts w:cs="Arial"/>
          <w:szCs w:val="20"/>
        </w:rPr>
        <w:t>bis</w:t>
      </w:r>
      <w:r w:rsidRPr="00521A4E">
        <w:rPr>
          <w:rFonts w:cs="Arial"/>
          <w:szCs w:val="20"/>
        </w:rPr>
        <w:t>-e, the following objectives of frequency domain resource multiplexing were agreed</w:t>
      </w:r>
      <w:r w:rsidR="00AC404D" w:rsidRPr="00521A4E">
        <w:rPr>
          <w:rFonts w:cs="Arial"/>
          <w:szCs w:val="20"/>
        </w:rPr>
        <w:t xml:space="preserve"> </w:t>
      </w:r>
      <w:r w:rsidR="00AC404D" w:rsidRPr="00521A4E">
        <w:rPr>
          <w:rFonts w:cs="Arial"/>
          <w:szCs w:val="20"/>
        </w:rPr>
        <w:fldChar w:fldCharType="begin"/>
      </w:r>
      <w:r w:rsidR="00AC404D" w:rsidRPr="00521A4E">
        <w:rPr>
          <w:rFonts w:cs="Arial"/>
          <w:szCs w:val="20"/>
        </w:rPr>
        <w:instrText xml:space="preserve"> REF _Ref85313944 \r \h </w:instrText>
      </w:r>
      <w:r w:rsidR="00AC404D" w:rsidRPr="00521A4E">
        <w:rPr>
          <w:rFonts w:cs="Arial"/>
          <w:szCs w:val="20"/>
        </w:rPr>
      </w:r>
      <w:r w:rsidR="007E3B07" w:rsidRPr="00521A4E">
        <w:rPr>
          <w:rFonts w:cs="Arial"/>
          <w:szCs w:val="20"/>
        </w:rPr>
        <w:instrText xml:space="preserve"> \* MERGEFORMAT </w:instrText>
      </w:r>
      <w:r w:rsidR="00AC404D" w:rsidRPr="00521A4E">
        <w:rPr>
          <w:rFonts w:cs="Arial"/>
          <w:szCs w:val="20"/>
        </w:rPr>
        <w:fldChar w:fldCharType="separate"/>
      </w:r>
      <w:r w:rsidR="00F201E9">
        <w:rPr>
          <w:rFonts w:cs="Arial"/>
          <w:szCs w:val="20"/>
        </w:rPr>
        <w:t>[4]</w:t>
      </w:r>
      <w:r w:rsidR="00AC404D"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516065" w:rsidRPr="00521A4E" w14:paraId="20E833B1" w14:textId="77777777" w:rsidTr="001F2465">
        <w:tc>
          <w:tcPr>
            <w:tcW w:w="9629" w:type="dxa"/>
          </w:tcPr>
          <w:p w14:paraId="39292287" w14:textId="77777777" w:rsidR="00AC404D" w:rsidRPr="00521A4E" w:rsidRDefault="00AC404D" w:rsidP="007E3B07">
            <w:pPr>
              <w:jc w:val="both"/>
              <w:rPr>
                <w:rFonts w:cs="Times"/>
                <w:b/>
                <w:szCs w:val="20"/>
                <w:highlight w:val="green"/>
              </w:rPr>
            </w:pPr>
            <w:r w:rsidRPr="00521A4E">
              <w:rPr>
                <w:rFonts w:cs="Times"/>
                <w:b/>
                <w:szCs w:val="20"/>
                <w:highlight w:val="green"/>
              </w:rPr>
              <w:t>Agreement</w:t>
            </w:r>
          </w:p>
          <w:p w14:paraId="7A1E7A45" w14:textId="77777777" w:rsidR="00AC404D" w:rsidRPr="00521A4E" w:rsidRDefault="00AC404D" w:rsidP="007E3B07">
            <w:pPr>
              <w:jc w:val="both"/>
              <w:rPr>
                <w:rFonts w:cs="Arial"/>
                <w:sz w:val="20"/>
                <w:szCs w:val="20"/>
              </w:rPr>
            </w:pPr>
            <w:r w:rsidRPr="00521A4E">
              <w:rPr>
                <w:rFonts w:cs="Arial"/>
                <w:sz w:val="20"/>
                <w:szCs w:val="20"/>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7E45921D" w14:textId="77777777" w:rsidR="00AC404D" w:rsidRPr="00521A4E" w:rsidRDefault="00AC404D" w:rsidP="007E3B07">
            <w:pPr>
              <w:pStyle w:val="ListParagraph"/>
              <w:numPr>
                <w:ilvl w:val="0"/>
                <w:numId w:val="20"/>
              </w:numPr>
              <w:spacing w:before="60" w:after="120" w:line="240" w:lineRule="auto"/>
              <w:contextualSpacing/>
              <w:jc w:val="both"/>
              <w:rPr>
                <w:rFonts w:ascii="Arial" w:hAnsi="Arial" w:cs="Arial"/>
                <w:sz w:val="20"/>
                <w:szCs w:val="20"/>
                <w:lang w:val="en-US"/>
              </w:rPr>
            </w:pPr>
            <w:r w:rsidRPr="00521A4E">
              <w:rPr>
                <w:rFonts w:ascii="Arial" w:hAnsi="Arial" w:cs="Arial"/>
                <w:sz w:val="20"/>
                <w:szCs w:val="20"/>
                <w:lang w:val="en-US"/>
              </w:rPr>
              <w:t>For a given slot, different H/S/NA resource types can be configured for different RB sets</w:t>
            </w:r>
          </w:p>
          <w:p w14:paraId="4E0355D9" w14:textId="77777777" w:rsidR="00AC404D" w:rsidRPr="00521A4E" w:rsidRDefault="00AC404D" w:rsidP="007E3B07">
            <w:pPr>
              <w:pStyle w:val="ListParagraph"/>
              <w:numPr>
                <w:ilvl w:val="0"/>
                <w:numId w:val="20"/>
              </w:numPr>
              <w:spacing w:before="60" w:after="120" w:line="240" w:lineRule="auto"/>
              <w:contextualSpacing/>
              <w:jc w:val="both"/>
              <w:rPr>
                <w:rFonts w:ascii="Arial" w:hAnsi="Arial" w:cs="Arial"/>
                <w:sz w:val="20"/>
                <w:szCs w:val="20"/>
                <w:lang w:val="en-US"/>
              </w:rPr>
            </w:pPr>
            <w:r w:rsidRPr="00521A4E">
              <w:rPr>
                <w:rFonts w:ascii="Arial" w:hAnsi="Arial" w:cs="Arial"/>
                <w:sz w:val="20"/>
                <w:szCs w:val="20"/>
                <w:lang w:val="en-US"/>
              </w:rPr>
              <w:t>Additional signaling details (e.g. bitmap, slot pattern, etc.) can be left up to RAN3</w:t>
            </w:r>
          </w:p>
          <w:p w14:paraId="710154A6" w14:textId="77777777" w:rsidR="00AC404D" w:rsidRPr="00521A4E" w:rsidRDefault="00AC404D" w:rsidP="007E3B07">
            <w:pPr>
              <w:pStyle w:val="ListParagraph"/>
              <w:numPr>
                <w:ilvl w:val="0"/>
                <w:numId w:val="20"/>
              </w:numPr>
              <w:spacing w:before="60" w:after="120" w:line="240" w:lineRule="auto"/>
              <w:contextualSpacing/>
              <w:jc w:val="both"/>
              <w:rPr>
                <w:rFonts w:ascii="Arial" w:hAnsi="Arial" w:cs="Arial"/>
                <w:sz w:val="20"/>
                <w:szCs w:val="20"/>
                <w:lang w:val="en-US"/>
              </w:rPr>
            </w:pPr>
            <w:r w:rsidRPr="00521A4E">
              <w:rPr>
                <w:rFonts w:ascii="Arial" w:hAnsi="Arial" w:cs="Arial"/>
                <w:sz w:val="20"/>
                <w:szCs w:val="20"/>
                <w:lang w:val="en-US"/>
              </w:rPr>
              <w:t>FFS: The number of different frequency domain configurations at a given time</w:t>
            </w:r>
          </w:p>
          <w:p w14:paraId="05596FC3" w14:textId="2B33527A" w:rsidR="00516065" w:rsidRPr="00521A4E" w:rsidRDefault="00516065" w:rsidP="007E3B07">
            <w:pPr>
              <w:contextualSpacing/>
              <w:jc w:val="both"/>
              <w:rPr>
                <w:rFonts w:cs="Arial"/>
                <w:b/>
                <w:bCs/>
                <w:sz w:val="20"/>
                <w:szCs w:val="20"/>
              </w:rPr>
            </w:pPr>
          </w:p>
          <w:p w14:paraId="6AEFE15E" w14:textId="77777777" w:rsidR="00AC404D" w:rsidRPr="00521A4E" w:rsidRDefault="00AC404D" w:rsidP="007E3B07">
            <w:pPr>
              <w:contextualSpacing/>
              <w:jc w:val="both"/>
              <w:rPr>
                <w:rFonts w:cs="Arial"/>
                <w:b/>
                <w:bCs/>
                <w:sz w:val="20"/>
                <w:szCs w:val="20"/>
              </w:rPr>
            </w:pPr>
          </w:p>
          <w:p w14:paraId="46FEDE31" w14:textId="77777777" w:rsidR="00AC404D" w:rsidRPr="00521A4E" w:rsidRDefault="00AC404D" w:rsidP="007E3B07">
            <w:pPr>
              <w:jc w:val="both"/>
              <w:rPr>
                <w:rFonts w:cs="Times"/>
                <w:b/>
                <w:szCs w:val="20"/>
                <w:highlight w:val="green"/>
              </w:rPr>
            </w:pPr>
            <w:r w:rsidRPr="00521A4E">
              <w:rPr>
                <w:rFonts w:cs="Times"/>
                <w:b/>
                <w:szCs w:val="20"/>
                <w:highlight w:val="green"/>
              </w:rPr>
              <w:t>Agreement</w:t>
            </w:r>
          </w:p>
          <w:p w14:paraId="6A357C23" w14:textId="7B4D8568" w:rsidR="0048752D" w:rsidRPr="00521A4E" w:rsidRDefault="00AC404D" w:rsidP="007E3B07">
            <w:pPr>
              <w:jc w:val="both"/>
              <w:rPr>
                <w:rFonts w:cs="Times"/>
                <w:sz w:val="20"/>
                <w:szCs w:val="20"/>
              </w:rPr>
            </w:pPr>
            <w:r w:rsidRPr="00521A4E">
              <w:rPr>
                <w:rFonts w:cs="Times"/>
                <w:sz w:val="20"/>
                <w:szCs w:val="20"/>
              </w:rPr>
              <w:t>A single value for the RB set size, N, is configured for a given IAB-DU cell’s Rel-17 frequency domain H/S/NA configuration</w:t>
            </w:r>
          </w:p>
        </w:tc>
      </w:tr>
    </w:tbl>
    <w:p w14:paraId="5A1A842A" w14:textId="474B8178" w:rsidR="00D52B0C" w:rsidRPr="00521A4E" w:rsidRDefault="00D52B0C" w:rsidP="007E3B07">
      <w:pPr>
        <w:pStyle w:val="Heading3"/>
        <w:jc w:val="both"/>
        <w:rPr>
          <w:lang w:val="en-US"/>
        </w:rPr>
      </w:pPr>
      <w:bookmarkStart w:id="5" w:name="_Ref58590315"/>
      <w:r w:rsidRPr="00521A4E">
        <w:rPr>
          <w:lang w:val="en-US"/>
        </w:rPr>
        <w:lastRenderedPageBreak/>
        <w:t>Frequency-domain H/S/NA</w:t>
      </w:r>
      <w:bookmarkEnd w:id="5"/>
    </w:p>
    <w:bookmarkEnd w:id="4"/>
    <w:p w14:paraId="08DD7550" w14:textId="3FEF88CD" w:rsidR="000A730F" w:rsidRPr="00521A4E" w:rsidRDefault="00EE0A55" w:rsidP="007E3B07">
      <w:pPr>
        <w:jc w:val="both"/>
        <w:rPr>
          <w:rFonts w:cs="Arial"/>
          <w:szCs w:val="20"/>
        </w:rPr>
      </w:pPr>
      <w:r w:rsidRPr="00521A4E">
        <w:rPr>
          <w:rFonts w:cs="Arial"/>
          <w:szCs w:val="20"/>
        </w:rPr>
        <w:t xml:space="preserve">For an IAB-node capable of simultaneous operation, the IAB-MT and IAB-DU can use time-domain resources simultaneously but need coordination </w:t>
      </w:r>
      <w:r w:rsidR="00B22F8E" w:rsidRPr="00521A4E">
        <w:rPr>
          <w:rFonts w:cs="Arial"/>
          <w:szCs w:val="20"/>
        </w:rPr>
        <w:t xml:space="preserve">of </w:t>
      </w:r>
      <w:r w:rsidRPr="00521A4E">
        <w:rPr>
          <w:rFonts w:cs="Arial"/>
          <w:szCs w:val="20"/>
        </w:rPr>
        <w:t xml:space="preserve">the usage of frequency-domain resources. </w:t>
      </w:r>
      <w:r w:rsidR="00274F1D" w:rsidRPr="00521A4E">
        <w:rPr>
          <w:rFonts w:cs="Arial"/>
          <w:szCs w:val="20"/>
        </w:rPr>
        <w:t xml:space="preserve">The intention of defining H/S/NA frequency resources is to coordinate between IAB-DU and collocated IAB-MT. </w:t>
      </w:r>
      <w:r w:rsidR="005B5F06" w:rsidRPr="00521A4E">
        <w:rPr>
          <w:rFonts w:cs="Arial"/>
          <w:szCs w:val="20"/>
        </w:rPr>
        <w:t>Preferably,</w:t>
      </w:r>
      <w:r w:rsidR="00274F1D" w:rsidRPr="00521A4E">
        <w:rPr>
          <w:rFonts w:cs="Arial"/>
          <w:szCs w:val="20"/>
        </w:rPr>
        <w:t xml:space="preserve"> the configured IAB-DU resources should be aligned with the configured IAB-MT resource grid which is </w:t>
      </w:r>
      <w:r w:rsidR="00982641" w:rsidRPr="00521A4E">
        <w:rPr>
          <w:rFonts w:cs="Arial"/>
          <w:szCs w:val="20"/>
        </w:rPr>
        <w:t>given</w:t>
      </w:r>
      <w:r w:rsidR="00274F1D" w:rsidRPr="00521A4E">
        <w:rPr>
          <w:rFonts w:cs="Arial"/>
          <w:szCs w:val="20"/>
        </w:rPr>
        <w:t xml:space="preserve"> in </w:t>
      </w:r>
      <w:r w:rsidR="00271500" w:rsidRPr="00521A4E">
        <w:rPr>
          <w:rFonts w:cs="Arial"/>
          <w:szCs w:val="20"/>
        </w:rPr>
        <w:t>resource block groups (</w:t>
      </w:r>
      <w:r w:rsidR="00274F1D" w:rsidRPr="00521A4E">
        <w:rPr>
          <w:rFonts w:cs="Arial"/>
          <w:szCs w:val="20"/>
        </w:rPr>
        <w:t>RBGs</w:t>
      </w:r>
      <w:r w:rsidR="00271500" w:rsidRPr="00521A4E">
        <w:rPr>
          <w:rFonts w:cs="Arial"/>
          <w:szCs w:val="20"/>
        </w:rPr>
        <w:t>)</w:t>
      </w:r>
      <w:r w:rsidR="00274F1D" w:rsidRPr="00521A4E">
        <w:rPr>
          <w:rFonts w:cs="Arial"/>
          <w:szCs w:val="20"/>
        </w:rPr>
        <w:t xml:space="preserve"> according to IAB-MT’s BWP size and RBG configuration. Any deviation, either upwards or downwards, will result in fractional resources for the IAB-MT that cannot be used for scheduling if, e.g., </w:t>
      </w:r>
      <w:r w:rsidR="00982641" w:rsidRPr="00521A4E">
        <w:rPr>
          <w:rFonts w:cs="Arial"/>
          <w:szCs w:val="20"/>
        </w:rPr>
        <w:t>a</w:t>
      </w:r>
      <w:r w:rsidR="00274F1D" w:rsidRPr="00521A4E">
        <w:rPr>
          <w:rFonts w:cs="Arial"/>
          <w:szCs w:val="20"/>
        </w:rPr>
        <w:t xml:space="preserve"> Hard DU resource </w:t>
      </w:r>
      <w:r w:rsidR="00982641" w:rsidRPr="00521A4E">
        <w:rPr>
          <w:rFonts w:cs="Arial"/>
          <w:szCs w:val="20"/>
        </w:rPr>
        <w:t>is</w:t>
      </w:r>
      <w:r w:rsidR="00274F1D" w:rsidRPr="00521A4E">
        <w:rPr>
          <w:rFonts w:cs="Arial"/>
          <w:szCs w:val="20"/>
        </w:rPr>
        <w:t xml:space="preserve"> configured</w:t>
      </w:r>
      <w:r w:rsidR="00B22F8E" w:rsidRPr="00521A4E">
        <w:rPr>
          <w:rFonts w:cs="Arial"/>
          <w:szCs w:val="20"/>
        </w:rPr>
        <w:t xml:space="preserve"> overlapping with an IAB-MT scheduling unit</w:t>
      </w:r>
      <w:r w:rsidR="00274F1D" w:rsidRPr="00521A4E">
        <w:rPr>
          <w:rFonts w:cs="Arial"/>
          <w:szCs w:val="20"/>
        </w:rPr>
        <w:t xml:space="preserve">. In order to have a meaningful </w:t>
      </w:r>
      <w:r w:rsidR="00982641" w:rsidRPr="00521A4E">
        <w:rPr>
          <w:rFonts w:cs="Arial"/>
          <w:szCs w:val="20"/>
        </w:rPr>
        <w:t>and</w:t>
      </w:r>
      <w:r w:rsidR="00274F1D" w:rsidRPr="00521A4E">
        <w:rPr>
          <w:rFonts w:cs="Arial"/>
          <w:szCs w:val="20"/>
        </w:rPr>
        <w:t xml:space="preserve"> efficient resource configuration between IAB-MT and IAB-DU, the IAB-DU would always need to be configured in multiples of, and aligned with, IAB-MT RBGs. </w:t>
      </w:r>
      <w:r w:rsidR="00654145" w:rsidRPr="00521A4E">
        <w:rPr>
          <w:rFonts w:cs="Arial"/>
          <w:szCs w:val="20"/>
        </w:rPr>
        <w:t>We would like to emphasize that this IAB-MT/-DU HSNA frequency resource alignment means no limitation in how resources</w:t>
      </w:r>
      <w:r w:rsidR="00982641" w:rsidRPr="00521A4E">
        <w:rPr>
          <w:rFonts w:cs="Arial"/>
          <w:szCs w:val="20"/>
        </w:rPr>
        <w:t xml:space="preserve"> that are</w:t>
      </w:r>
      <w:r w:rsidR="00654145" w:rsidRPr="00521A4E">
        <w:rPr>
          <w:rFonts w:cs="Arial"/>
          <w:szCs w:val="20"/>
        </w:rPr>
        <w:t xml:space="preserve"> available </w:t>
      </w:r>
      <w:r w:rsidR="0087288D" w:rsidRPr="00521A4E">
        <w:rPr>
          <w:rFonts w:cs="Arial"/>
          <w:szCs w:val="20"/>
        </w:rPr>
        <w:t>to</w:t>
      </w:r>
      <w:r w:rsidR="00654145" w:rsidRPr="00521A4E">
        <w:rPr>
          <w:rFonts w:cs="Arial"/>
          <w:szCs w:val="20"/>
        </w:rPr>
        <w:t xml:space="preserve"> the IAB-DU are used for scheduling UEs. </w:t>
      </w:r>
    </w:p>
    <w:p w14:paraId="5F193A2E" w14:textId="5FBE6A52" w:rsidR="000A730F" w:rsidRPr="00521A4E" w:rsidRDefault="000A730F" w:rsidP="007E3B07">
      <w:pPr>
        <w:pStyle w:val="Observation"/>
      </w:pPr>
      <w:bookmarkStart w:id="6" w:name="_Toc87042218"/>
      <w:r w:rsidRPr="00521A4E">
        <w:t>The H/S/NA frequency resource alignment between IAB-MT and IAB-DU means no limitation in how resource</w:t>
      </w:r>
      <w:r w:rsidR="0035093A" w:rsidRPr="00521A4E">
        <w:t>s</w:t>
      </w:r>
      <w:r w:rsidRPr="00521A4E">
        <w:t xml:space="preserve"> that are available to the IAB-DU are used for scheduling UEs.</w:t>
      </w:r>
      <w:bookmarkEnd w:id="6"/>
    </w:p>
    <w:p w14:paraId="45888197" w14:textId="75E7A2F6" w:rsidR="002157AF" w:rsidRPr="00521A4E" w:rsidRDefault="00274F1D" w:rsidP="007E3B07">
      <w:pPr>
        <w:jc w:val="both"/>
        <w:rPr>
          <w:rFonts w:eastAsia="Times New Roman" w:cs="Times"/>
          <w:color w:val="000000"/>
          <w:szCs w:val="20"/>
        </w:rPr>
      </w:pPr>
      <w:r w:rsidRPr="00521A4E">
        <w:rPr>
          <w:rFonts w:cs="Arial"/>
          <w:szCs w:val="20"/>
        </w:rPr>
        <w:t>As agreed in RAN1#10</w:t>
      </w:r>
      <w:r w:rsidR="006D73D6" w:rsidRPr="00521A4E">
        <w:rPr>
          <w:rFonts w:cs="Arial"/>
          <w:szCs w:val="20"/>
        </w:rPr>
        <w:t>6</w:t>
      </w:r>
      <w:r w:rsidRPr="00521A4E">
        <w:rPr>
          <w:rFonts w:cs="Arial"/>
          <w:szCs w:val="20"/>
        </w:rPr>
        <w:t xml:space="preserve">-e </w:t>
      </w:r>
      <w:r w:rsidR="00B77D49" w:rsidRPr="00521A4E">
        <w:rPr>
          <w:rFonts w:cs="Arial"/>
          <w:szCs w:val="20"/>
        </w:rPr>
        <w:fldChar w:fldCharType="begin"/>
      </w:r>
      <w:r w:rsidR="00B77D49" w:rsidRPr="00521A4E">
        <w:rPr>
          <w:rFonts w:cs="Arial"/>
          <w:szCs w:val="20"/>
        </w:rPr>
        <w:instrText xml:space="preserve"> REF _Ref74242731 \r \h </w:instrText>
      </w:r>
      <w:r w:rsidR="00B77D49" w:rsidRPr="00521A4E">
        <w:rPr>
          <w:rFonts w:cs="Arial"/>
          <w:szCs w:val="20"/>
        </w:rPr>
      </w:r>
      <w:r w:rsidR="007E3B07" w:rsidRPr="00521A4E">
        <w:rPr>
          <w:rFonts w:cs="Arial"/>
          <w:szCs w:val="20"/>
        </w:rPr>
        <w:instrText xml:space="preserve"> \* MERGEFORMAT </w:instrText>
      </w:r>
      <w:r w:rsidR="00B77D49" w:rsidRPr="00521A4E">
        <w:rPr>
          <w:rFonts w:cs="Arial"/>
          <w:szCs w:val="20"/>
        </w:rPr>
        <w:fldChar w:fldCharType="separate"/>
      </w:r>
      <w:r w:rsidR="00F201E9">
        <w:rPr>
          <w:rFonts w:cs="Arial"/>
          <w:szCs w:val="20"/>
        </w:rPr>
        <w:t>[5]</w:t>
      </w:r>
      <w:r w:rsidR="00B77D49" w:rsidRPr="00521A4E">
        <w:rPr>
          <w:rFonts w:cs="Arial"/>
          <w:szCs w:val="20"/>
        </w:rPr>
        <w:fldChar w:fldCharType="end"/>
      </w:r>
      <w:r w:rsidRPr="00521A4E">
        <w:rPr>
          <w:rFonts w:cs="Arial"/>
          <w:szCs w:val="20"/>
        </w:rPr>
        <w:t>, the minimum resource size for configuring the frequency domain granularity is a set of N</w:t>
      </w:r>
      <w:r w:rsidR="006D73D6" w:rsidRPr="00521A4E">
        <w:rPr>
          <w:rFonts w:cs="Arial"/>
          <w:szCs w:val="20"/>
        </w:rPr>
        <w:t xml:space="preserve"> </w:t>
      </w:r>
      <w:r w:rsidR="002A4CC1" w:rsidRPr="00521A4E">
        <w:rPr>
          <w:rFonts w:cs="Arial"/>
          <w:szCs w:val="20"/>
        </w:rPr>
        <w:t>P</w:t>
      </w:r>
      <w:r w:rsidRPr="00521A4E">
        <w:rPr>
          <w:rFonts w:cs="Arial"/>
          <w:szCs w:val="20"/>
        </w:rPr>
        <w:t xml:space="preserve">RBs, and </w:t>
      </w:r>
      <w:r w:rsidR="00B22F8E" w:rsidRPr="00521A4E">
        <w:rPr>
          <w:rFonts w:cs="Arial"/>
          <w:szCs w:val="20"/>
        </w:rPr>
        <w:t>depending on the IAB-MT</w:t>
      </w:r>
      <w:r w:rsidR="00A42C16" w:rsidRPr="00521A4E">
        <w:rPr>
          <w:rFonts w:cs="Arial"/>
          <w:szCs w:val="20"/>
        </w:rPr>
        <w:t>’s</w:t>
      </w:r>
      <w:r w:rsidR="003D092E" w:rsidRPr="00521A4E">
        <w:rPr>
          <w:rFonts w:cs="Arial"/>
          <w:szCs w:val="20"/>
        </w:rPr>
        <w:t xml:space="preserve"> </w:t>
      </w:r>
      <w:r w:rsidR="000A730F" w:rsidRPr="00521A4E">
        <w:rPr>
          <w:rFonts w:cs="Arial"/>
          <w:szCs w:val="20"/>
        </w:rPr>
        <w:t xml:space="preserve">RBG </w:t>
      </w:r>
      <w:r w:rsidR="003D092E" w:rsidRPr="00521A4E">
        <w:rPr>
          <w:rFonts w:cs="Arial"/>
          <w:szCs w:val="20"/>
        </w:rPr>
        <w:t>configuration</w:t>
      </w:r>
      <w:r w:rsidR="00B22F8E" w:rsidRPr="00521A4E">
        <w:rPr>
          <w:rFonts w:cs="Arial"/>
          <w:szCs w:val="20"/>
        </w:rPr>
        <w:t xml:space="preserve">, </w:t>
      </w:r>
      <w:r w:rsidR="006D73D6" w:rsidRPr="00521A4E">
        <w:rPr>
          <w:rFonts w:cs="Arial"/>
          <w:szCs w:val="20"/>
        </w:rPr>
        <w:t xml:space="preserve">N </w:t>
      </w:r>
      <w:r w:rsidR="00B22F8E" w:rsidRPr="00521A4E">
        <w:rPr>
          <w:rFonts w:cs="Arial"/>
          <w:szCs w:val="20"/>
        </w:rPr>
        <w:t xml:space="preserve">can be </w:t>
      </w:r>
      <w:r w:rsidR="00001D8A" w:rsidRPr="00521A4E">
        <w:rPr>
          <w:rFonts w:cs="Arial"/>
          <w:szCs w:val="20"/>
        </w:rPr>
        <w:t>selected from the set</w:t>
      </w:r>
      <w:r w:rsidR="006D73D6" w:rsidRPr="00521A4E">
        <w:rPr>
          <w:rFonts w:cs="Arial"/>
          <w:szCs w:val="20"/>
        </w:rPr>
        <w:t xml:space="preserve"> {2, 4, 8, 16, 32, 64}</w:t>
      </w:r>
      <w:r w:rsidR="001A632E" w:rsidRPr="00521A4E">
        <w:rPr>
          <w:rFonts w:cs="Arial"/>
          <w:szCs w:val="20"/>
        </w:rPr>
        <w:t>.</w:t>
      </w:r>
      <w:r w:rsidRPr="00521A4E">
        <w:rPr>
          <w:rFonts w:cs="Arial"/>
          <w:szCs w:val="20"/>
        </w:rPr>
        <w:t xml:space="preserve"> </w:t>
      </w:r>
      <w:r w:rsidR="002157AF" w:rsidRPr="00521A4E">
        <w:t>Furthermore, per the agreement that “</w:t>
      </w:r>
      <w:r w:rsidR="002157AF" w:rsidRPr="00521A4E">
        <w:rPr>
          <w:rFonts w:eastAsia="Times New Roman" w:cs="Times"/>
          <w:i/>
          <w:iCs/>
          <w:color w:val="000000"/>
          <w:szCs w:val="20"/>
        </w:rPr>
        <w:t>N is at least the # PRBs that are corresponding to the MT’s # PRBs of an RBG</w:t>
      </w:r>
      <w:r w:rsidR="002157AF" w:rsidRPr="00521A4E">
        <w:rPr>
          <w:rFonts w:eastAsia="Times New Roman" w:cs="Times"/>
          <w:color w:val="000000"/>
          <w:szCs w:val="20"/>
        </w:rPr>
        <w:t xml:space="preserve">,” it is evident that the candidate values for N must be dependent on the MT’s RBG configuration, since otherwise, for larger </w:t>
      </w:r>
      <w:r w:rsidR="005B537D" w:rsidRPr="00521A4E">
        <w:rPr>
          <w:rFonts w:eastAsia="Times New Roman" w:cs="Times"/>
          <w:color w:val="000000"/>
          <w:szCs w:val="20"/>
        </w:rPr>
        <w:t>IAB-</w:t>
      </w:r>
      <w:r w:rsidR="002157AF" w:rsidRPr="00521A4E">
        <w:rPr>
          <w:rFonts w:eastAsia="Times New Roman" w:cs="Times"/>
          <w:color w:val="000000"/>
          <w:szCs w:val="20"/>
        </w:rPr>
        <w:t>MT’s RBG sizes (e.g., 16), the candidate values will also comprise values that are smaller than the RBG size (e.g., 4 or 8), which would violate the agreement.</w:t>
      </w:r>
    </w:p>
    <w:p w14:paraId="20E04B42" w14:textId="6477CA2C" w:rsidR="002157AF" w:rsidRPr="00521A4E" w:rsidRDefault="002157AF" w:rsidP="007E3B07">
      <w:pPr>
        <w:pStyle w:val="Observation"/>
      </w:pPr>
      <w:bookmarkStart w:id="7" w:name="_Toc87042219"/>
      <w:r w:rsidRPr="00521A4E">
        <w:t xml:space="preserve">In order to meet earlier agreements, the candidate values for N must depend on the </w:t>
      </w:r>
      <w:r w:rsidR="005B537D" w:rsidRPr="00521A4E">
        <w:t>IAB-</w:t>
      </w:r>
      <w:r w:rsidRPr="00521A4E">
        <w:t>MT’s RBG configuration.</w:t>
      </w:r>
      <w:bookmarkEnd w:id="7"/>
    </w:p>
    <w:p w14:paraId="64140CB9" w14:textId="2F75F138" w:rsidR="007C2B9C" w:rsidRPr="00521A4E" w:rsidRDefault="00D7075D" w:rsidP="007E3B07">
      <w:pPr>
        <w:jc w:val="both"/>
      </w:pPr>
      <w:r w:rsidRPr="00521A4E">
        <w:rPr>
          <w:rFonts w:cs="Arial"/>
          <w:szCs w:val="20"/>
        </w:rPr>
        <w:t xml:space="preserve">In addition to the above constraint on small values of N, there is no practical use in configuring a too large N for </w:t>
      </w:r>
      <w:r w:rsidR="0089248E" w:rsidRPr="00521A4E">
        <w:rPr>
          <w:rFonts w:cs="Arial"/>
          <w:szCs w:val="20"/>
        </w:rPr>
        <w:t>too small</w:t>
      </w:r>
      <w:r w:rsidRPr="00521A4E">
        <w:rPr>
          <w:rFonts w:cs="Arial"/>
          <w:szCs w:val="20"/>
        </w:rPr>
        <w:t xml:space="preserve"> BWPs.</w:t>
      </w:r>
      <w:r w:rsidR="004E0224" w:rsidRPr="00521A4E">
        <w:rPr>
          <w:rFonts w:cs="Arial"/>
          <w:szCs w:val="20"/>
        </w:rPr>
        <w:t xml:space="preserve"> A minimum requirement </w:t>
      </w:r>
      <w:r w:rsidR="00FE5012" w:rsidRPr="00521A4E">
        <w:rPr>
          <w:rFonts w:cs="Arial"/>
          <w:szCs w:val="20"/>
        </w:rPr>
        <w:t xml:space="preserve">on N, in this respect, </w:t>
      </w:r>
      <w:r w:rsidR="004E0224" w:rsidRPr="00521A4E">
        <w:rPr>
          <w:rFonts w:cs="Arial"/>
          <w:szCs w:val="20"/>
        </w:rPr>
        <w:t>is</w:t>
      </w:r>
      <w:r w:rsidR="00FE5012" w:rsidRPr="00521A4E">
        <w:rPr>
          <w:rFonts w:cs="Arial"/>
          <w:szCs w:val="20"/>
        </w:rPr>
        <w:t xml:space="preserve"> that N allows for configuration of at least one H</w:t>
      </w:r>
      <w:r w:rsidR="0089248E" w:rsidRPr="00521A4E">
        <w:rPr>
          <w:rFonts w:cs="Arial"/>
          <w:szCs w:val="20"/>
        </w:rPr>
        <w:t>ard</w:t>
      </w:r>
      <w:r w:rsidR="00FE5012" w:rsidRPr="00521A4E">
        <w:rPr>
          <w:rFonts w:cs="Arial"/>
          <w:szCs w:val="20"/>
        </w:rPr>
        <w:t xml:space="preserve"> and </w:t>
      </w:r>
      <w:r w:rsidR="00845AEA" w:rsidRPr="00521A4E">
        <w:rPr>
          <w:rFonts w:cs="Arial"/>
          <w:szCs w:val="20"/>
        </w:rPr>
        <w:t xml:space="preserve">one </w:t>
      </w:r>
      <w:r w:rsidR="00FE5012" w:rsidRPr="00521A4E">
        <w:rPr>
          <w:rFonts w:cs="Arial"/>
          <w:szCs w:val="20"/>
        </w:rPr>
        <w:t>N</w:t>
      </w:r>
      <w:r w:rsidR="0089248E" w:rsidRPr="00521A4E">
        <w:rPr>
          <w:rFonts w:cs="Arial"/>
          <w:szCs w:val="20"/>
        </w:rPr>
        <w:t xml:space="preserve">ot </w:t>
      </w:r>
      <w:r w:rsidR="00FE5012" w:rsidRPr="00521A4E">
        <w:rPr>
          <w:rFonts w:cs="Arial"/>
          <w:szCs w:val="20"/>
        </w:rPr>
        <w:t>A</w:t>
      </w:r>
      <w:r w:rsidR="0089248E" w:rsidRPr="00521A4E">
        <w:rPr>
          <w:rFonts w:cs="Arial"/>
          <w:szCs w:val="20"/>
        </w:rPr>
        <w:t>vailable</w:t>
      </w:r>
      <w:r w:rsidR="00FE5012" w:rsidRPr="00521A4E">
        <w:rPr>
          <w:rFonts w:cs="Arial"/>
          <w:szCs w:val="20"/>
        </w:rPr>
        <w:t xml:space="preserve"> set, respectively, i.e., at least </w:t>
      </w:r>
      <w:r w:rsidR="00001D8A" w:rsidRPr="00521A4E">
        <w:rPr>
          <w:rFonts w:cs="Arial"/>
          <w:szCs w:val="20"/>
        </w:rPr>
        <w:t>two</w:t>
      </w:r>
      <w:r w:rsidR="00FE5012" w:rsidRPr="00521A4E">
        <w:rPr>
          <w:rFonts w:cs="Arial"/>
          <w:szCs w:val="20"/>
        </w:rPr>
        <w:t xml:space="preserve"> sets can be formed within the BWP.  </w:t>
      </w:r>
      <w:r w:rsidR="002070D3" w:rsidRPr="00521A4E">
        <w:rPr>
          <w:rFonts w:cs="Arial"/>
          <w:szCs w:val="20"/>
        </w:rPr>
        <w:t xml:space="preserve">According to </w:t>
      </w:r>
      <w:r w:rsidR="002070D3" w:rsidRPr="00521A4E">
        <w:t xml:space="preserve">TS 38.214 </w:t>
      </w:r>
      <w:r w:rsidR="002070D3" w:rsidRPr="00521A4E">
        <w:fldChar w:fldCharType="begin"/>
      </w:r>
      <w:r w:rsidR="002070D3" w:rsidRPr="00521A4E">
        <w:instrText xml:space="preserve"> REF _Ref70110054 \r \h  \* MERGEFORMAT </w:instrText>
      </w:r>
      <w:r w:rsidR="002070D3" w:rsidRPr="00521A4E">
        <w:fldChar w:fldCharType="separate"/>
      </w:r>
      <w:r w:rsidR="00F201E9">
        <w:t>[6]</w:t>
      </w:r>
      <w:r w:rsidR="002070D3" w:rsidRPr="00521A4E">
        <w:fldChar w:fldCharType="end"/>
      </w:r>
      <w:r w:rsidR="002070D3" w:rsidRPr="00521A4E">
        <w:t>, t</w:t>
      </w:r>
      <w:r w:rsidR="00F314F5" w:rsidRPr="00521A4E">
        <w:t xml:space="preserve">he size of </w:t>
      </w:r>
      <w:r w:rsidR="000A730F" w:rsidRPr="00521A4E">
        <w:t>RBGs</w:t>
      </w:r>
      <w:r w:rsidR="00F314F5" w:rsidRPr="00521A4E">
        <w:t xml:space="preserve"> for UEs is specified relative to the number of resource block</w:t>
      </w:r>
      <w:r w:rsidR="006E1F5A" w:rsidRPr="00521A4E">
        <w:t>s</w:t>
      </w:r>
      <w:r w:rsidR="00F314F5" w:rsidRPr="00521A4E">
        <w:t xml:space="preserve"> in a BWP</w:t>
      </w:r>
      <w:r w:rsidR="002070D3" w:rsidRPr="00521A4E">
        <w:t>.</w:t>
      </w:r>
      <w:r w:rsidR="00F314F5" w:rsidRPr="00521A4E">
        <w:t xml:space="preserve"> The underlying assumption is that scheduling </w:t>
      </w:r>
      <w:r w:rsidR="0070573B" w:rsidRPr="00521A4E">
        <w:t xml:space="preserve">of </w:t>
      </w:r>
      <w:r w:rsidR="00F314F5" w:rsidRPr="00521A4E">
        <w:t>resources for UE</w:t>
      </w:r>
      <w:r w:rsidR="00E5142D" w:rsidRPr="00521A4E">
        <w:t>s</w:t>
      </w:r>
      <w:r w:rsidR="00F314F5" w:rsidRPr="00521A4E">
        <w:t xml:space="preserve"> in a large bandwidth scenario will also </w:t>
      </w:r>
      <w:r w:rsidR="001C224A" w:rsidRPr="00521A4E">
        <w:t>occur</w:t>
      </w:r>
      <w:r w:rsidR="00F314F5" w:rsidRPr="00521A4E">
        <w:t xml:space="preserve"> in larger </w:t>
      </w:r>
      <w:r w:rsidR="00E5142D" w:rsidRPr="00521A4E">
        <w:t>number of RBs</w:t>
      </w:r>
      <w:r w:rsidR="00F314F5" w:rsidRPr="00521A4E">
        <w:t xml:space="preserve">. The same understanding can be translated </w:t>
      </w:r>
      <w:r w:rsidR="00323E0E" w:rsidRPr="00521A4E">
        <w:t xml:space="preserve">into an efficient approach for indexing </w:t>
      </w:r>
      <w:r w:rsidR="00AE049D" w:rsidRPr="00521A4E">
        <w:t>N</w:t>
      </w:r>
      <w:r w:rsidR="00323E0E" w:rsidRPr="00521A4E">
        <w:t xml:space="preserve"> </w:t>
      </w:r>
      <w:r w:rsidR="00AE049D" w:rsidRPr="00521A4E">
        <w:t xml:space="preserve">by relating it </w:t>
      </w:r>
      <w:r w:rsidR="00323E0E" w:rsidRPr="00521A4E">
        <w:t>to the configured RBG size</w:t>
      </w:r>
      <w:r w:rsidR="00AE049D" w:rsidRPr="00521A4E">
        <w:t xml:space="preserve"> of the co</w:t>
      </w:r>
      <w:r w:rsidR="0070573B" w:rsidRPr="00521A4E">
        <w:t>l</w:t>
      </w:r>
      <w:r w:rsidR="00AE049D" w:rsidRPr="00521A4E">
        <w:t>located IAB-MT</w:t>
      </w:r>
      <w:r w:rsidR="00323E0E" w:rsidRPr="00521A4E">
        <w:t>.</w:t>
      </w:r>
      <w:r w:rsidR="00AE049D" w:rsidRPr="00521A4E">
        <w:t xml:space="preserve"> That way, </w:t>
      </w:r>
      <w:r w:rsidR="002070D3" w:rsidRPr="00521A4E">
        <w:t>few</w:t>
      </w:r>
      <w:r w:rsidR="001C224A" w:rsidRPr="00521A4E">
        <w:t>er</w:t>
      </w:r>
      <w:r w:rsidR="00AE049D" w:rsidRPr="00521A4E">
        <w:t xml:space="preserve"> bits would be sufficient to indicate the full range of </w:t>
      </w:r>
      <w:r w:rsidR="00E5142D" w:rsidRPr="00521A4E">
        <w:t xml:space="preserve">the </w:t>
      </w:r>
      <w:r w:rsidR="00AE049D" w:rsidRPr="00521A4E">
        <w:t>configur</w:t>
      </w:r>
      <w:r w:rsidR="00E5142D" w:rsidRPr="00521A4E">
        <w:t>able number of</w:t>
      </w:r>
      <w:r w:rsidR="00AE049D" w:rsidRPr="00521A4E">
        <w:t xml:space="preserve"> RBs, by using the set of RBs corresponding to, e.g., {1 RBG, 2 RBG, 4 RBG, 8 RBG}</w:t>
      </w:r>
      <w:r w:rsidR="00092956" w:rsidRPr="00521A4E">
        <w:t xml:space="preserve"> as i</w:t>
      </w:r>
      <w:r w:rsidR="00E80830" w:rsidRPr="00521A4E">
        <w:t>s presented in</w:t>
      </w:r>
      <w:r w:rsidR="00AE049D" w:rsidRPr="00521A4E">
        <w:t xml:space="preserve"> </w:t>
      </w:r>
      <w:r w:rsidR="00E80830" w:rsidRPr="00521A4E">
        <w:fldChar w:fldCharType="begin"/>
      </w:r>
      <w:r w:rsidR="00E80830" w:rsidRPr="00521A4E">
        <w:instrText xml:space="preserve"> REF _Ref82632713 \h </w:instrText>
      </w:r>
      <w:r w:rsidR="00AA3979" w:rsidRPr="00521A4E">
        <w:instrText xml:space="preserve"> \* MERGEFORMAT </w:instrText>
      </w:r>
      <w:r w:rsidR="00E80830" w:rsidRPr="00521A4E">
        <w:fldChar w:fldCharType="separate"/>
      </w:r>
      <w:r w:rsidR="00F201E9" w:rsidRPr="00521A4E">
        <w:t xml:space="preserve">Table </w:t>
      </w:r>
      <w:r w:rsidR="00F201E9">
        <w:rPr>
          <w:noProof/>
        </w:rPr>
        <w:t>1</w:t>
      </w:r>
      <w:r w:rsidR="00E80830" w:rsidRPr="00521A4E">
        <w:fldChar w:fldCharType="end"/>
      </w:r>
      <w:r w:rsidR="00D8446B" w:rsidRPr="00521A4E">
        <w:t>.</w:t>
      </w:r>
      <w:r w:rsidR="0089248E" w:rsidRPr="00521A4E">
        <w:t xml:space="preserve"> In the table, red elements indicate </w:t>
      </w:r>
      <w:r w:rsidR="00F16437" w:rsidRPr="00521A4E">
        <w:t>values of N</w:t>
      </w:r>
      <w:r w:rsidR="00FD5782" w:rsidRPr="00521A4E">
        <w:t>,</w:t>
      </w:r>
      <w:r w:rsidR="00F16437" w:rsidRPr="00521A4E">
        <w:t xml:space="preserve"> where the value in relation to the RBG size either violates earlier agreements or does not allow for configuration of at least t</w:t>
      </w:r>
      <w:r w:rsidR="00845AEA" w:rsidRPr="00521A4E">
        <w:t>wo</w:t>
      </w:r>
      <w:r w:rsidR="00F16437" w:rsidRPr="00521A4E">
        <w:t xml:space="preserve"> </w:t>
      </w:r>
      <w:r w:rsidR="00845AEA" w:rsidRPr="00521A4E">
        <w:t>complete</w:t>
      </w:r>
      <w:r w:rsidR="00F16437" w:rsidRPr="00521A4E">
        <w:t xml:space="preserve"> sets </w:t>
      </w:r>
      <w:r w:rsidR="006C3D8C" w:rsidRPr="00521A4E">
        <w:t xml:space="preserve">for any </w:t>
      </w:r>
      <w:r w:rsidR="00FD5782" w:rsidRPr="00521A4E">
        <w:t>BWP</w:t>
      </w:r>
      <w:r w:rsidR="006C3D8C" w:rsidRPr="00521A4E">
        <w:t xml:space="preserve"> size</w:t>
      </w:r>
      <w:r w:rsidR="00E80830" w:rsidRPr="00521A4E">
        <w:t xml:space="preserve">, whereas orange elements </w:t>
      </w:r>
      <w:r w:rsidR="006C3D8C" w:rsidRPr="00521A4E">
        <w:t>does not allow for configuration of at least t</w:t>
      </w:r>
      <w:r w:rsidR="00845AEA" w:rsidRPr="00521A4E">
        <w:t>wo</w:t>
      </w:r>
      <w:r w:rsidR="006C3D8C" w:rsidRPr="00521A4E">
        <w:t xml:space="preserve"> </w:t>
      </w:r>
      <w:r w:rsidR="00845AEA" w:rsidRPr="00521A4E">
        <w:t>complete</w:t>
      </w:r>
      <w:r w:rsidR="006C3D8C" w:rsidRPr="00521A4E">
        <w:t xml:space="preserve"> sets within the BWP for some BWP sizes and </w:t>
      </w:r>
      <w:r w:rsidR="00E80830" w:rsidRPr="00521A4E">
        <w:t xml:space="preserve">are </w:t>
      </w:r>
      <w:r w:rsidR="00FF3887" w:rsidRPr="00521A4E">
        <w:t>hence considered</w:t>
      </w:r>
      <w:r w:rsidR="00E80830" w:rsidRPr="00521A4E">
        <w:t xml:space="preserve"> too large for any practical use.</w:t>
      </w:r>
    </w:p>
    <w:p w14:paraId="5BDD1F3F" w14:textId="078B25D2" w:rsidR="000772E4" w:rsidRPr="00521A4E" w:rsidRDefault="000772E4" w:rsidP="007E3B07">
      <w:pPr>
        <w:pStyle w:val="Caption"/>
        <w:keepNext/>
        <w:jc w:val="both"/>
      </w:pPr>
      <w:bookmarkStart w:id="8" w:name="_Ref82632713"/>
      <w:r w:rsidRPr="00521A4E">
        <w:t xml:space="preserve">Table </w:t>
      </w:r>
      <w:r w:rsidRPr="00521A4E">
        <w:fldChar w:fldCharType="begin"/>
      </w:r>
      <w:r w:rsidRPr="00521A4E">
        <w:instrText xml:space="preserve"> SEQ Table \* ARABIC </w:instrText>
      </w:r>
      <w:r w:rsidRPr="00521A4E">
        <w:fldChar w:fldCharType="separate"/>
      </w:r>
      <w:r w:rsidR="00F201E9">
        <w:rPr>
          <w:noProof/>
        </w:rPr>
        <w:t>1</w:t>
      </w:r>
      <w:r w:rsidRPr="00521A4E">
        <w:fldChar w:fldCharType="end"/>
      </w:r>
      <w:bookmarkEnd w:id="8"/>
      <w:r w:rsidRPr="00521A4E">
        <w:t xml:space="preserve">: Relation between BWP size, RBG size and practically feasible values of N. Red elements indicate </w:t>
      </w:r>
      <w:r w:rsidR="004E0224" w:rsidRPr="00521A4E">
        <w:t xml:space="preserve">unfeasible values and orange fields indicates </w:t>
      </w:r>
      <w:r w:rsidR="00877E29" w:rsidRPr="00521A4E">
        <w:t>doubtfull</w:t>
      </w:r>
      <w:r w:rsidR="004E0224" w:rsidRPr="00521A4E">
        <w:t>y feasible values.</w:t>
      </w:r>
    </w:p>
    <w:tbl>
      <w:tblPr>
        <w:tblStyle w:val="TableGrid"/>
        <w:tblW w:w="9630" w:type="dxa"/>
        <w:tblLayout w:type="fixed"/>
        <w:tblLook w:val="04A0" w:firstRow="1" w:lastRow="0" w:firstColumn="1" w:lastColumn="0" w:noHBand="0" w:noVBand="1"/>
      </w:tblPr>
      <w:tblGrid>
        <w:gridCol w:w="1413"/>
        <w:gridCol w:w="1413"/>
        <w:gridCol w:w="1134"/>
        <w:gridCol w:w="1134"/>
        <w:gridCol w:w="1134"/>
        <w:gridCol w:w="1134"/>
        <w:gridCol w:w="1134"/>
        <w:gridCol w:w="1134"/>
      </w:tblGrid>
      <w:tr w:rsidR="00E517C0" w:rsidRPr="00521A4E" w14:paraId="17FCD1D1" w14:textId="319058B3" w:rsidTr="00E517C0">
        <w:trPr>
          <w:trHeight w:val="288"/>
        </w:trPr>
        <w:tc>
          <w:tcPr>
            <w:tcW w:w="1413" w:type="dxa"/>
          </w:tcPr>
          <w:p w14:paraId="129962BE" w14:textId="2A910AB9" w:rsidR="00E517C0" w:rsidRPr="00521A4E" w:rsidRDefault="00E517C0" w:rsidP="007E3B07">
            <w:pPr>
              <w:jc w:val="both"/>
              <w:rPr>
                <w:b/>
                <w:szCs w:val="20"/>
              </w:rPr>
            </w:pPr>
            <w:r w:rsidRPr="00521A4E">
              <w:rPr>
                <w:b/>
                <w:szCs w:val="20"/>
              </w:rPr>
              <w:t>MT BWP size</w:t>
            </w:r>
          </w:p>
        </w:tc>
        <w:tc>
          <w:tcPr>
            <w:tcW w:w="1413" w:type="dxa"/>
            <w:vAlign w:val="center"/>
          </w:tcPr>
          <w:p w14:paraId="7BA08208" w14:textId="57AFE963" w:rsidR="00E517C0" w:rsidRPr="00521A4E" w:rsidRDefault="00E517C0" w:rsidP="007E3B07">
            <w:pPr>
              <w:jc w:val="both"/>
              <w:rPr>
                <w:b/>
                <w:sz w:val="20"/>
                <w:szCs w:val="20"/>
              </w:rPr>
            </w:pPr>
            <w:r w:rsidRPr="00521A4E">
              <w:rPr>
                <w:b/>
                <w:szCs w:val="20"/>
              </w:rPr>
              <w:t>MT RBG size</w:t>
            </w:r>
            <w:r w:rsidRPr="00521A4E">
              <w:rPr>
                <w:b/>
                <w:bCs/>
                <w:sz w:val="20"/>
                <w:szCs w:val="20"/>
              </w:rPr>
              <w:t xml:space="preserve"> [PRBs]</w:t>
            </w:r>
          </w:p>
        </w:tc>
        <w:tc>
          <w:tcPr>
            <w:tcW w:w="6804" w:type="dxa"/>
            <w:gridSpan w:val="6"/>
            <w:vAlign w:val="center"/>
          </w:tcPr>
          <w:p w14:paraId="09A79A88" w14:textId="16D30CDF" w:rsidR="00E517C0" w:rsidRPr="00521A4E" w:rsidRDefault="00E517C0" w:rsidP="007E3B07">
            <w:pPr>
              <w:jc w:val="both"/>
              <w:rPr>
                <w:b/>
                <w:szCs w:val="20"/>
              </w:rPr>
            </w:pPr>
            <w:r w:rsidRPr="00521A4E">
              <w:rPr>
                <w:b/>
                <w:szCs w:val="20"/>
              </w:rPr>
              <w:t>N</w:t>
            </w:r>
          </w:p>
        </w:tc>
      </w:tr>
      <w:tr w:rsidR="00E517C0" w:rsidRPr="00521A4E" w14:paraId="1A16D76F" w14:textId="0317A809" w:rsidTr="005B16E5">
        <w:trPr>
          <w:trHeight w:val="296"/>
        </w:trPr>
        <w:tc>
          <w:tcPr>
            <w:tcW w:w="1413" w:type="dxa"/>
          </w:tcPr>
          <w:p w14:paraId="223DE783" w14:textId="08391A50" w:rsidR="00E517C0" w:rsidRPr="00521A4E" w:rsidRDefault="00E517C0" w:rsidP="007E3B07">
            <w:pPr>
              <w:jc w:val="both"/>
              <w:rPr>
                <w:b/>
                <w:szCs w:val="20"/>
              </w:rPr>
            </w:pPr>
            <w:r w:rsidRPr="00521A4E">
              <w:rPr>
                <w:b/>
                <w:szCs w:val="20"/>
              </w:rPr>
              <w:t>1-36</w:t>
            </w:r>
          </w:p>
        </w:tc>
        <w:tc>
          <w:tcPr>
            <w:tcW w:w="1413" w:type="dxa"/>
            <w:vAlign w:val="center"/>
          </w:tcPr>
          <w:p w14:paraId="590A0B34" w14:textId="70A91956" w:rsidR="00E517C0" w:rsidRPr="00521A4E" w:rsidRDefault="00E517C0" w:rsidP="007E3B07">
            <w:pPr>
              <w:jc w:val="both"/>
              <w:rPr>
                <w:b/>
                <w:sz w:val="20"/>
                <w:szCs w:val="20"/>
              </w:rPr>
            </w:pPr>
            <w:r w:rsidRPr="00521A4E">
              <w:rPr>
                <w:b/>
                <w:szCs w:val="20"/>
              </w:rPr>
              <w:t>2</w:t>
            </w:r>
          </w:p>
        </w:tc>
        <w:tc>
          <w:tcPr>
            <w:tcW w:w="1134" w:type="dxa"/>
            <w:vAlign w:val="center"/>
          </w:tcPr>
          <w:p w14:paraId="715CA048" w14:textId="1329819D" w:rsidR="00E517C0" w:rsidRPr="00521A4E" w:rsidRDefault="00E517C0" w:rsidP="007E3B07">
            <w:pPr>
              <w:jc w:val="both"/>
              <w:rPr>
                <w:sz w:val="20"/>
                <w:szCs w:val="20"/>
              </w:rPr>
            </w:pPr>
            <w:r w:rsidRPr="00521A4E">
              <w:rPr>
                <w:szCs w:val="20"/>
              </w:rPr>
              <w:t>2</w:t>
            </w:r>
          </w:p>
        </w:tc>
        <w:tc>
          <w:tcPr>
            <w:tcW w:w="1134" w:type="dxa"/>
            <w:vAlign w:val="center"/>
          </w:tcPr>
          <w:p w14:paraId="097DD48F" w14:textId="45AA9A6B" w:rsidR="00E517C0" w:rsidRPr="00521A4E" w:rsidRDefault="00E517C0" w:rsidP="007E3B07">
            <w:pPr>
              <w:jc w:val="both"/>
              <w:rPr>
                <w:sz w:val="20"/>
                <w:szCs w:val="20"/>
              </w:rPr>
            </w:pPr>
            <w:r w:rsidRPr="00521A4E">
              <w:rPr>
                <w:szCs w:val="20"/>
              </w:rPr>
              <w:t>4</w:t>
            </w:r>
          </w:p>
        </w:tc>
        <w:tc>
          <w:tcPr>
            <w:tcW w:w="1134" w:type="dxa"/>
            <w:vAlign w:val="center"/>
          </w:tcPr>
          <w:p w14:paraId="3B5022BA" w14:textId="4B559619" w:rsidR="00E517C0" w:rsidRPr="00521A4E" w:rsidRDefault="00E517C0" w:rsidP="007E3B07">
            <w:pPr>
              <w:jc w:val="both"/>
              <w:rPr>
                <w:sz w:val="20"/>
                <w:szCs w:val="20"/>
              </w:rPr>
            </w:pPr>
            <w:r w:rsidRPr="00521A4E">
              <w:rPr>
                <w:szCs w:val="20"/>
              </w:rPr>
              <w:t>8</w:t>
            </w:r>
          </w:p>
        </w:tc>
        <w:tc>
          <w:tcPr>
            <w:tcW w:w="1134" w:type="dxa"/>
            <w:shd w:val="clear" w:color="auto" w:fill="FFC000"/>
            <w:vAlign w:val="center"/>
          </w:tcPr>
          <w:p w14:paraId="0C511CEE" w14:textId="3B8E3585" w:rsidR="00E517C0" w:rsidRPr="00521A4E" w:rsidRDefault="00E517C0" w:rsidP="007E3B07">
            <w:pPr>
              <w:jc w:val="both"/>
              <w:rPr>
                <w:sz w:val="20"/>
                <w:szCs w:val="20"/>
              </w:rPr>
            </w:pPr>
            <w:r w:rsidRPr="00521A4E">
              <w:rPr>
                <w:szCs w:val="20"/>
              </w:rPr>
              <w:t>16</w:t>
            </w:r>
          </w:p>
        </w:tc>
        <w:tc>
          <w:tcPr>
            <w:tcW w:w="1134" w:type="dxa"/>
            <w:shd w:val="clear" w:color="auto" w:fill="FF0000"/>
            <w:vAlign w:val="center"/>
          </w:tcPr>
          <w:p w14:paraId="1ECF8465" w14:textId="1E7CB4D1" w:rsidR="00E517C0" w:rsidRPr="00521A4E" w:rsidRDefault="00E517C0" w:rsidP="007E3B07">
            <w:pPr>
              <w:jc w:val="both"/>
              <w:rPr>
                <w:sz w:val="20"/>
                <w:szCs w:val="20"/>
              </w:rPr>
            </w:pPr>
            <w:r w:rsidRPr="00521A4E">
              <w:rPr>
                <w:sz w:val="20"/>
                <w:szCs w:val="20"/>
              </w:rPr>
              <w:t>32</w:t>
            </w:r>
          </w:p>
        </w:tc>
        <w:tc>
          <w:tcPr>
            <w:tcW w:w="1134" w:type="dxa"/>
            <w:shd w:val="clear" w:color="auto" w:fill="FF0000"/>
          </w:tcPr>
          <w:p w14:paraId="3D9600E4" w14:textId="537999FD" w:rsidR="00E517C0" w:rsidRPr="00521A4E" w:rsidRDefault="00E517C0" w:rsidP="007E3B07">
            <w:pPr>
              <w:jc w:val="both"/>
              <w:rPr>
                <w:szCs w:val="20"/>
              </w:rPr>
            </w:pPr>
            <w:r w:rsidRPr="00521A4E">
              <w:rPr>
                <w:szCs w:val="20"/>
              </w:rPr>
              <w:t>64</w:t>
            </w:r>
          </w:p>
        </w:tc>
      </w:tr>
      <w:tr w:rsidR="00E517C0" w:rsidRPr="00521A4E" w14:paraId="71CA460F" w14:textId="71314DE4" w:rsidTr="005B16E5">
        <w:trPr>
          <w:trHeight w:val="288"/>
        </w:trPr>
        <w:tc>
          <w:tcPr>
            <w:tcW w:w="1413" w:type="dxa"/>
          </w:tcPr>
          <w:p w14:paraId="24703094" w14:textId="385B7D97" w:rsidR="00E517C0" w:rsidRPr="00521A4E" w:rsidRDefault="00E517C0" w:rsidP="007E3B07">
            <w:pPr>
              <w:jc w:val="both"/>
              <w:rPr>
                <w:b/>
                <w:szCs w:val="20"/>
              </w:rPr>
            </w:pPr>
            <w:r w:rsidRPr="00521A4E">
              <w:rPr>
                <w:b/>
                <w:szCs w:val="20"/>
              </w:rPr>
              <w:t>37-72</w:t>
            </w:r>
          </w:p>
        </w:tc>
        <w:tc>
          <w:tcPr>
            <w:tcW w:w="1413" w:type="dxa"/>
            <w:vAlign w:val="center"/>
          </w:tcPr>
          <w:p w14:paraId="79536E66" w14:textId="0E59C1E5" w:rsidR="00E517C0" w:rsidRPr="00521A4E" w:rsidRDefault="00E517C0" w:rsidP="007E3B07">
            <w:pPr>
              <w:jc w:val="both"/>
              <w:rPr>
                <w:b/>
                <w:sz w:val="20"/>
                <w:szCs w:val="20"/>
              </w:rPr>
            </w:pPr>
            <w:r w:rsidRPr="00521A4E">
              <w:rPr>
                <w:b/>
                <w:szCs w:val="20"/>
              </w:rPr>
              <w:t>4</w:t>
            </w:r>
          </w:p>
        </w:tc>
        <w:tc>
          <w:tcPr>
            <w:tcW w:w="1134" w:type="dxa"/>
            <w:shd w:val="clear" w:color="auto" w:fill="FF0000"/>
            <w:vAlign w:val="center"/>
          </w:tcPr>
          <w:p w14:paraId="10BF3E49" w14:textId="04BC7F37" w:rsidR="00E517C0" w:rsidRPr="00521A4E" w:rsidRDefault="00E517C0" w:rsidP="007E3B07">
            <w:pPr>
              <w:jc w:val="both"/>
              <w:rPr>
                <w:sz w:val="20"/>
                <w:szCs w:val="20"/>
              </w:rPr>
            </w:pPr>
            <w:r w:rsidRPr="00521A4E">
              <w:rPr>
                <w:szCs w:val="20"/>
              </w:rPr>
              <w:t>2</w:t>
            </w:r>
          </w:p>
        </w:tc>
        <w:tc>
          <w:tcPr>
            <w:tcW w:w="1134" w:type="dxa"/>
            <w:vAlign w:val="center"/>
          </w:tcPr>
          <w:p w14:paraId="13C53A7C" w14:textId="2EFAECEC" w:rsidR="00E517C0" w:rsidRPr="00521A4E" w:rsidRDefault="00E517C0" w:rsidP="007E3B07">
            <w:pPr>
              <w:jc w:val="both"/>
              <w:rPr>
                <w:sz w:val="20"/>
                <w:szCs w:val="20"/>
              </w:rPr>
            </w:pPr>
            <w:r w:rsidRPr="00521A4E">
              <w:rPr>
                <w:szCs w:val="20"/>
              </w:rPr>
              <w:t>4</w:t>
            </w:r>
          </w:p>
        </w:tc>
        <w:tc>
          <w:tcPr>
            <w:tcW w:w="1134" w:type="dxa"/>
            <w:vAlign w:val="center"/>
          </w:tcPr>
          <w:p w14:paraId="106150DC" w14:textId="56A952C5" w:rsidR="00E517C0" w:rsidRPr="00521A4E" w:rsidRDefault="00E517C0" w:rsidP="007E3B07">
            <w:pPr>
              <w:jc w:val="both"/>
              <w:rPr>
                <w:sz w:val="20"/>
                <w:szCs w:val="20"/>
              </w:rPr>
            </w:pPr>
            <w:r w:rsidRPr="00521A4E">
              <w:rPr>
                <w:szCs w:val="20"/>
              </w:rPr>
              <w:t>8</w:t>
            </w:r>
          </w:p>
        </w:tc>
        <w:tc>
          <w:tcPr>
            <w:tcW w:w="1134" w:type="dxa"/>
            <w:vAlign w:val="center"/>
          </w:tcPr>
          <w:p w14:paraId="0067C90A" w14:textId="7EABC5BA" w:rsidR="00E517C0" w:rsidRPr="00521A4E" w:rsidRDefault="00E517C0" w:rsidP="007E3B07">
            <w:pPr>
              <w:jc w:val="both"/>
              <w:rPr>
                <w:sz w:val="20"/>
                <w:szCs w:val="20"/>
              </w:rPr>
            </w:pPr>
            <w:r w:rsidRPr="00521A4E">
              <w:rPr>
                <w:szCs w:val="20"/>
              </w:rPr>
              <w:t>16</w:t>
            </w:r>
          </w:p>
        </w:tc>
        <w:tc>
          <w:tcPr>
            <w:tcW w:w="1134" w:type="dxa"/>
            <w:shd w:val="clear" w:color="auto" w:fill="FFC000"/>
            <w:vAlign w:val="center"/>
          </w:tcPr>
          <w:p w14:paraId="28983231" w14:textId="1ECD59D9" w:rsidR="00E517C0" w:rsidRPr="00521A4E" w:rsidRDefault="00E517C0" w:rsidP="007E3B07">
            <w:pPr>
              <w:jc w:val="both"/>
              <w:rPr>
                <w:sz w:val="20"/>
                <w:szCs w:val="20"/>
              </w:rPr>
            </w:pPr>
            <w:r w:rsidRPr="00521A4E">
              <w:rPr>
                <w:sz w:val="20"/>
                <w:szCs w:val="20"/>
              </w:rPr>
              <w:t>32</w:t>
            </w:r>
          </w:p>
        </w:tc>
        <w:tc>
          <w:tcPr>
            <w:tcW w:w="1134" w:type="dxa"/>
            <w:shd w:val="clear" w:color="auto" w:fill="FF0000"/>
          </w:tcPr>
          <w:p w14:paraId="0B862349" w14:textId="46FC9540" w:rsidR="00E517C0" w:rsidRPr="00521A4E" w:rsidRDefault="00E517C0" w:rsidP="007E3B07">
            <w:pPr>
              <w:jc w:val="both"/>
              <w:rPr>
                <w:szCs w:val="20"/>
              </w:rPr>
            </w:pPr>
            <w:r w:rsidRPr="00521A4E">
              <w:rPr>
                <w:szCs w:val="20"/>
              </w:rPr>
              <w:t>64</w:t>
            </w:r>
          </w:p>
        </w:tc>
      </w:tr>
      <w:tr w:rsidR="00E517C0" w:rsidRPr="00521A4E" w14:paraId="2D2F1EB7" w14:textId="3BD5779F" w:rsidTr="005B16E5">
        <w:trPr>
          <w:trHeight w:val="296"/>
        </w:trPr>
        <w:tc>
          <w:tcPr>
            <w:tcW w:w="1413" w:type="dxa"/>
          </w:tcPr>
          <w:p w14:paraId="375302BC" w14:textId="64C2AB3A" w:rsidR="00E517C0" w:rsidRPr="00521A4E" w:rsidRDefault="00E517C0" w:rsidP="007E3B07">
            <w:pPr>
              <w:jc w:val="both"/>
              <w:rPr>
                <w:b/>
                <w:szCs w:val="20"/>
              </w:rPr>
            </w:pPr>
            <w:r w:rsidRPr="00521A4E">
              <w:rPr>
                <w:b/>
                <w:szCs w:val="20"/>
              </w:rPr>
              <w:lastRenderedPageBreak/>
              <w:t>73-144</w:t>
            </w:r>
          </w:p>
        </w:tc>
        <w:tc>
          <w:tcPr>
            <w:tcW w:w="1413" w:type="dxa"/>
            <w:vAlign w:val="center"/>
          </w:tcPr>
          <w:p w14:paraId="77EEA7E1" w14:textId="7AEED44A" w:rsidR="00E517C0" w:rsidRPr="00521A4E" w:rsidRDefault="00E517C0" w:rsidP="007E3B07">
            <w:pPr>
              <w:jc w:val="both"/>
              <w:rPr>
                <w:b/>
                <w:sz w:val="20"/>
                <w:szCs w:val="20"/>
              </w:rPr>
            </w:pPr>
            <w:r w:rsidRPr="00521A4E">
              <w:rPr>
                <w:b/>
                <w:szCs w:val="20"/>
              </w:rPr>
              <w:t>8</w:t>
            </w:r>
          </w:p>
        </w:tc>
        <w:tc>
          <w:tcPr>
            <w:tcW w:w="1134" w:type="dxa"/>
            <w:shd w:val="clear" w:color="auto" w:fill="FF0000"/>
            <w:vAlign w:val="center"/>
          </w:tcPr>
          <w:p w14:paraId="19AB5B73" w14:textId="71B162F8" w:rsidR="00E517C0" w:rsidRPr="00521A4E" w:rsidRDefault="00E517C0" w:rsidP="007E3B07">
            <w:pPr>
              <w:jc w:val="both"/>
              <w:rPr>
                <w:sz w:val="20"/>
                <w:szCs w:val="20"/>
              </w:rPr>
            </w:pPr>
            <w:r w:rsidRPr="00521A4E">
              <w:rPr>
                <w:szCs w:val="20"/>
              </w:rPr>
              <w:t>2</w:t>
            </w:r>
          </w:p>
        </w:tc>
        <w:tc>
          <w:tcPr>
            <w:tcW w:w="1134" w:type="dxa"/>
            <w:shd w:val="clear" w:color="auto" w:fill="FF0000"/>
            <w:vAlign w:val="center"/>
          </w:tcPr>
          <w:p w14:paraId="5DE0163B" w14:textId="423996E1" w:rsidR="00E517C0" w:rsidRPr="00521A4E" w:rsidRDefault="00E517C0" w:rsidP="007E3B07">
            <w:pPr>
              <w:jc w:val="both"/>
              <w:rPr>
                <w:sz w:val="20"/>
                <w:szCs w:val="20"/>
              </w:rPr>
            </w:pPr>
            <w:r w:rsidRPr="00521A4E">
              <w:rPr>
                <w:szCs w:val="20"/>
              </w:rPr>
              <w:t>4</w:t>
            </w:r>
          </w:p>
        </w:tc>
        <w:tc>
          <w:tcPr>
            <w:tcW w:w="1134" w:type="dxa"/>
            <w:vAlign w:val="center"/>
          </w:tcPr>
          <w:p w14:paraId="78C1ABE6" w14:textId="516E939A" w:rsidR="00E517C0" w:rsidRPr="00521A4E" w:rsidRDefault="00E517C0" w:rsidP="007E3B07">
            <w:pPr>
              <w:jc w:val="both"/>
              <w:rPr>
                <w:sz w:val="20"/>
                <w:szCs w:val="20"/>
              </w:rPr>
            </w:pPr>
            <w:r w:rsidRPr="00521A4E">
              <w:rPr>
                <w:szCs w:val="20"/>
              </w:rPr>
              <w:t>8</w:t>
            </w:r>
          </w:p>
        </w:tc>
        <w:tc>
          <w:tcPr>
            <w:tcW w:w="1134" w:type="dxa"/>
            <w:vAlign w:val="center"/>
          </w:tcPr>
          <w:p w14:paraId="38EC87EC" w14:textId="0B7C57AB" w:rsidR="00E517C0" w:rsidRPr="00521A4E" w:rsidRDefault="00E517C0" w:rsidP="007E3B07">
            <w:pPr>
              <w:jc w:val="both"/>
              <w:rPr>
                <w:sz w:val="20"/>
                <w:szCs w:val="20"/>
              </w:rPr>
            </w:pPr>
            <w:r w:rsidRPr="00521A4E">
              <w:rPr>
                <w:szCs w:val="20"/>
              </w:rPr>
              <w:t>16</w:t>
            </w:r>
          </w:p>
        </w:tc>
        <w:tc>
          <w:tcPr>
            <w:tcW w:w="1134" w:type="dxa"/>
            <w:vAlign w:val="center"/>
          </w:tcPr>
          <w:p w14:paraId="65273BD4" w14:textId="64E0B6DC" w:rsidR="00E517C0" w:rsidRPr="00521A4E" w:rsidRDefault="00E517C0" w:rsidP="007E3B07">
            <w:pPr>
              <w:jc w:val="both"/>
              <w:rPr>
                <w:sz w:val="20"/>
                <w:szCs w:val="20"/>
              </w:rPr>
            </w:pPr>
            <w:r w:rsidRPr="00521A4E">
              <w:rPr>
                <w:sz w:val="20"/>
                <w:szCs w:val="20"/>
              </w:rPr>
              <w:t>32</w:t>
            </w:r>
          </w:p>
        </w:tc>
        <w:tc>
          <w:tcPr>
            <w:tcW w:w="1134" w:type="dxa"/>
            <w:shd w:val="clear" w:color="auto" w:fill="FFC000"/>
          </w:tcPr>
          <w:p w14:paraId="075AD7BF" w14:textId="1BD40C50" w:rsidR="00E517C0" w:rsidRPr="00521A4E" w:rsidRDefault="00E517C0" w:rsidP="007E3B07">
            <w:pPr>
              <w:jc w:val="both"/>
              <w:rPr>
                <w:szCs w:val="20"/>
              </w:rPr>
            </w:pPr>
            <w:r w:rsidRPr="00521A4E">
              <w:rPr>
                <w:szCs w:val="20"/>
              </w:rPr>
              <w:t>64</w:t>
            </w:r>
          </w:p>
        </w:tc>
      </w:tr>
      <w:tr w:rsidR="00E517C0" w:rsidRPr="00521A4E" w14:paraId="0D5CC0F1" w14:textId="098798FD" w:rsidTr="00E517C0">
        <w:trPr>
          <w:trHeight w:val="288"/>
        </w:trPr>
        <w:tc>
          <w:tcPr>
            <w:tcW w:w="1413" w:type="dxa"/>
          </w:tcPr>
          <w:p w14:paraId="553A7B24" w14:textId="605F66AA" w:rsidR="00E517C0" w:rsidRPr="00521A4E" w:rsidRDefault="00E517C0" w:rsidP="007E3B07">
            <w:pPr>
              <w:jc w:val="both"/>
              <w:rPr>
                <w:b/>
                <w:szCs w:val="20"/>
              </w:rPr>
            </w:pPr>
            <w:r w:rsidRPr="00521A4E">
              <w:rPr>
                <w:b/>
                <w:szCs w:val="20"/>
              </w:rPr>
              <w:t>145-275</w:t>
            </w:r>
          </w:p>
        </w:tc>
        <w:tc>
          <w:tcPr>
            <w:tcW w:w="1413" w:type="dxa"/>
            <w:vAlign w:val="center"/>
          </w:tcPr>
          <w:p w14:paraId="03BA1F23" w14:textId="5FC2F4E9" w:rsidR="00E517C0" w:rsidRPr="00521A4E" w:rsidRDefault="00E517C0" w:rsidP="007E3B07">
            <w:pPr>
              <w:jc w:val="both"/>
              <w:rPr>
                <w:b/>
                <w:sz w:val="20"/>
                <w:szCs w:val="20"/>
              </w:rPr>
            </w:pPr>
            <w:r w:rsidRPr="00521A4E">
              <w:rPr>
                <w:b/>
                <w:szCs w:val="20"/>
              </w:rPr>
              <w:t>16</w:t>
            </w:r>
          </w:p>
        </w:tc>
        <w:tc>
          <w:tcPr>
            <w:tcW w:w="1134" w:type="dxa"/>
            <w:shd w:val="clear" w:color="auto" w:fill="FF0000"/>
            <w:vAlign w:val="center"/>
          </w:tcPr>
          <w:p w14:paraId="16492E3A" w14:textId="73A5419E" w:rsidR="00E517C0" w:rsidRPr="00521A4E" w:rsidRDefault="00E517C0" w:rsidP="007E3B07">
            <w:pPr>
              <w:jc w:val="both"/>
              <w:rPr>
                <w:sz w:val="20"/>
                <w:szCs w:val="20"/>
              </w:rPr>
            </w:pPr>
            <w:r w:rsidRPr="00521A4E">
              <w:rPr>
                <w:szCs w:val="20"/>
              </w:rPr>
              <w:t>2</w:t>
            </w:r>
          </w:p>
        </w:tc>
        <w:tc>
          <w:tcPr>
            <w:tcW w:w="1134" w:type="dxa"/>
            <w:shd w:val="clear" w:color="auto" w:fill="FF0000"/>
            <w:vAlign w:val="center"/>
          </w:tcPr>
          <w:p w14:paraId="107F1681" w14:textId="25D350F9" w:rsidR="00E517C0" w:rsidRPr="00521A4E" w:rsidRDefault="00E517C0" w:rsidP="007E3B07">
            <w:pPr>
              <w:jc w:val="both"/>
              <w:rPr>
                <w:sz w:val="20"/>
                <w:szCs w:val="20"/>
              </w:rPr>
            </w:pPr>
            <w:r w:rsidRPr="00521A4E">
              <w:rPr>
                <w:szCs w:val="20"/>
              </w:rPr>
              <w:t>4</w:t>
            </w:r>
          </w:p>
        </w:tc>
        <w:tc>
          <w:tcPr>
            <w:tcW w:w="1134" w:type="dxa"/>
            <w:shd w:val="clear" w:color="auto" w:fill="FF0000"/>
            <w:vAlign w:val="center"/>
          </w:tcPr>
          <w:p w14:paraId="768F0583" w14:textId="4F14FA7E" w:rsidR="00E517C0" w:rsidRPr="00521A4E" w:rsidRDefault="00E517C0" w:rsidP="007E3B07">
            <w:pPr>
              <w:jc w:val="both"/>
              <w:rPr>
                <w:sz w:val="20"/>
                <w:szCs w:val="20"/>
              </w:rPr>
            </w:pPr>
            <w:r w:rsidRPr="00521A4E">
              <w:rPr>
                <w:szCs w:val="20"/>
              </w:rPr>
              <w:t>8</w:t>
            </w:r>
          </w:p>
        </w:tc>
        <w:tc>
          <w:tcPr>
            <w:tcW w:w="1134" w:type="dxa"/>
            <w:vAlign w:val="center"/>
          </w:tcPr>
          <w:p w14:paraId="67D36AB3" w14:textId="487FAECA" w:rsidR="00E517C0" w:rsidRPr="00521A4E" w:rsidRDefault="00E517C0" w:rsidP="007E3B07">
            <w:pPr>
              <w:jc w:val="both"/>
              <w:rPr>
                <w:sz w:val="20"/>
                <w:szCs w:val="20"/>
              </w:rPr>
            </w:pPr>
            <w:r w:rsidRPr="00521A4E">
              <w:rPr>
                <w:szCs w:val="20"/>
              </w:rPr>
              <w:t>16</w:t>
            </w:r>
          </w:p>
        </w:tc>
        <w:tc>
          <w:tcPr>
            <w:tcW w:w="1134" w:type="dxa"/>
            <w:vAlign w:val="center"/>
          </w:tcPr>
          <w:p w14:paraId="34B13576" w14:textId="61F83E69" w:rsidR="00E517C0" w:rsidRPr="00521A4E" w:rsidRDefault="00E517C0" w:rsidP="007E3B07">
            <w:pPr>
              <w:jc w:val="both"/>
              <w:rPr>
                <w:sz w:val="20"/>
                <w:szCs w:val="20"/>
              </w:rPr>
            </w:pPr>
            <w:r w:rsidRPr="00521A4E">
              <w:rPr>
                <w:sz w:val="20"/>
                <w:szCs w:val="20"/>
              </w:rPr>
              <w:t>32</w:t>
            </w:r>
          </w:p>
        </w:tc>
        <w:tc>
          <w:tcPr>
            <w:tcW w:w="1134" w:type="dxa"/>
          </w:tcPr>
          <w:p w14:paraId="3204E067" w14:textId="0B7F3C82" w:rsidR="00E517C0" w:rsidRPr="00521A4E" w:rsidRDefault="00E517C0" w:rsidP="007E3B07">
            <w:pPr>
              <w:jc w:val="both"/>
              <w:rPr>
                <w:szCs w:val="20"/>
              </w:rPr>
            </w:pPr>
            <w:r w:rsidRPr="00521A4E">
              <w:rPr>
                <w:szCs w:val="20"/>
              </w:rPr>
              <w:t>64</w:t>
            </w:r>
          </w:p>
        </w:tc>
      </w:tr>
    </w:tbl>
    <w:p w14:paraId="0EC5DA51" w14:textId="632BFCF8" w:rsidR="00E43719" w:rsidRPr="00521A4E" w:rsidRDefault="000A0185" w:rsidP="00F364B7">
      <w:pPr>
        <w:pStyle w:val="Proposal"/>
        <w:tabs>
          <w:tab w:val="clear" w:pos="1872"/>
        </w:tabs>
        <w:spacing w:before="240"/>
        <w:ind w:left="1304"/>
        <w:rPr>
          <w:lang w:eastAsia="ja-JP"/>
        </w:rPr>
      </w:pPr>
      <w:bookmarkStart w:id="9" w:name="_Toc87034808"/>
      <w:bookmarkStart w:id="10" w:name="_Toc87035274"/>
      <w:bookmarkStart w:id="11" w:name="_Toc87042229"/>
      <w:bookmarkEnd w:id="9"/>
      <w:bookmarkEnd w:id="10"/>
      <w:r w:rsidRPr="00521A4E">
        <w:rPr>
          <w:lang w:eastAsia="ja-JP"/>
        </w:rPr>
        <w:t xml:space="preserve">The frequency domain granularity, i.e., the N RBs in an RB set is related to MT’s BWP and number of PRBs in an RBG, NRB(RBG), as given in </w:t>
      </w:r>
      <w:r w:rsidRPr="00521A4E">
        <w:rPr>
          <w:lang w:eastAsia="ja-JP"/>
        </w:rPr>
        <w:fldChar w:fldCharType="begin"/>
      </w:r>
      <w:r w:rsidRPr="00521A4E">
        <w:rPr>
          <w:lang w:eastAsia="ja-JP"/>
        </w:rPr>
        <w:instrText xml:space="preserve"> REF _Ref82632713 \h </w:instrText>
      </w:r>
      <w:r w:rsidR="00AA3979" w:rsidRPr="00521A4E">
        <w:rPr>
          <w:lang w:eastAsia="ja-JP"/>
        </w:rPr>
        <w:instrText xml:space="preserve"> \* MERGEFORMAT </w:instrText>
      </w:r>
      <w:r w:rsidRPr="00521A4E">
        <w:rPr>
          <w:lang w:eastAsia="ja-JP"/>
        </w:rPr>
      </w:r>
      <w:r w:rsidRPr="00521A4E">
        <w:rPr>
          <w:lang w:eastAsia="ja-JP"/>
        </w:rPr>
        <w:fldChar w:fldCharType="separate"/>
      </w:r>
      <w:r w:rsidR="00F201E9" w:rsidRPr="00521A4E">
        <w:rPr>
          <w:lang w:eastAsia="ja-JP"/>
        </w:rPr>
        <w:t xml:space="preserve">Table </w:t>
      </w:r>
      <w:r w:rsidR="00F201E9">
        <w:rPr>
          <w:lang w:eastAsia="ja-JP"/>
        </w:rPr>
        <w:t>1</w:t>
      </w:r>
      <w:r w:rsidRPr="00521A4E">
        <w:rPr>
          <w:lang w:eastAsia="ja-JP"/>
        </w:rPr>
        <w:fldChar w:fldCharType="end"/>
      </w:r>
      <w:r w:rsidRPr="00521A4E">
        <w:rPr>
          <w:lang w:eastAsia="ja-JP"/>
        </w:rPr>
        <w:t>.</w:t>
      </w:r>
      <w:bookmarkEnd w:id="11"/>
    </w:p>
    <w:p w14:paraId="518F96CA" w14:textId="6C2AC68F" w:rsidR="00331123" w:rsidRPr="00521A4E" w:rsidRDefault="00D53A0D" w:rsidP="007E3B07">
      <w:pPr>
        <w:jc w:val="both"/>
        <w:rPr>
          <w:rFonts w:cs="Times"/>
          <w:szCs w:val="20"/>
        </w:rPr>
      </w:pPr>
      <w:r w:rsidRPr="00521A4E">
        <w:rPr>
          <w:rFonts w:cs="Arial"/>
          <w:szCs w:val="20"/>
        </w:rPr>
        <w:t xml:space="preserve">In RAN1#106bis-e it was agreed that </w:t>
      </w:r>
      <w:r w:rsidRPr="00521A4E">
        <w:rPr>
          <w:rFonts w:cs="Times"/>
          <w:szCs w:val="20"/>
        </w:rPr>
        <w:t>a single value for the RB set size, N, is configured for a given IAB-DU cell’s Rel-17 frequency domain H/S/NA configuration. Our interpretation of this agreement is that the</w:t>
      </w:r>
      <w:r w:rsidR="00131AD0" w:rsidRPr="00521A4E">
        <w:rPr>
          <w:rFonts w:cs="Times"/>
          <w:szCs w:val="20"/>
        </w:rPr>
        <w:t xml:space="preserve">re is </w:t>
      </w:r>
      <w:r w:rsidR="009F71C0" w:rsidRPr="00521A4E">
        <w:rPr>
          <w:rFonts w:cs="Times"/>
          <w:szCs w:val="20"/>
        </w:rPr>
        <w:t xml:space="preserve">only </w:t>
      </w:r>
      <w:r w:rsidR="00131AD0" w:rsidRPr="00521A4E">
        <w:rPr>
          <w:rFonts w:cs="Times"/>
          <w:szCs w:val="20"/>
        </w:rPr>
        <w:t>one</w:t>
      </w:r>
      <w:r w:rsidRPr="00521A4E">
        <w:rPr>
          <w:rFonts w:cs="Times"/>
          <w:szCs w:val="20"/>
        </w:rPr>
        <w:t xml:space="preserve"> configuration of RB sets over the entire IAB-DU cell</w:t>
      </w:r>
      <w:r w:rsidR="00575A83" w:rsidRPr="00521A4E">
        <w:rPr>
          <w:rFonts w:cs="Times"/>
          <w:szCs w:val="20"/>
        </w:rPr>
        <w:t>, regardless which BWP is activated for the IAB-MT.</w:t>
      </w:r>
      <w:r w:rsidR="001427A6" w:rsidRPr="00521A4E">
        <w:rPr>
          <w:rFonts w:cs="Times"/>
          <w:szCs w:val="20"/>
        </w:rPr>
        <w:t xml:space="preserve"> </w:t>
      </w:r>
      <w:r w:rsidR="004863DE" w:rsidRPr="00521A4E">
        <w:rPr>
          <w:rFonts w:cs="Times"/>
          <w:szCs w:val="20"/>
        </w:rPr>
        <w:t>It</w:t>
      </w:r>
      <w:r w:rsidR="003268F4" w:rsidRPr="00521A4E">
        <w:rPr>
          <w:rFonts w:cs="Times"/>
          <w:szCs w:val="20"/>
        </w:rPr>
        <w:t xml:space="preserve"> is</w:t>
      </w:r>
      <w:r w:rsidR="004863DE" w:rsidRPr="00521A4E">
        <w:rPr>
          <w:rFonts w:cs="Times"/>
          <w:szCs w:val="20"/>
        </w:rPr>
        <w:t xml:space="preserve"> noted that</w:t>
      </w:r>
      <w:r w:rsidR="001427A6" w:rsidRPr="00521A4E">
        <w:rPr>
          <w:rFonts w:cs="Times"/>
          <w:szCs w:val="20"/>
        </w:rPr>
        <w:t xml:space="preserve"> f</w:t>
      </w:r>
      <w:r w:rsidR="00131AD0" w:rsidRPr="00521A4E">
        <w:rPr>
          <w:rFonts w:cs="Times"/>
          <w:szCs w:val="20"/>
        </w:rPr>
        <w:t xml:space="preserve">or </w:t>
      </w:r>
      <w:r w:rsidR="007D5C0A" w:rsidRPr="00521A4E">
        <w:rPr>
          <w:rFonts w:cs="Times"/>
          <w:szCs w:val="20"/>
        </w:rPr>
        <w:t xml:space="preserve">an </w:t>
      </w:r>
      <w:r w:rsidR="00131AD0" w:rsidRPr="00521A4E">
        <w:rPr>
          <w:rFonts w:cs="Times"/>
          <w:szCs w:val="20"/>
        </w:rPr>
        <w:t>IAB-DU resource</w:t>
      </w:r>
      <w:r w:rsidR="009F71C0" w:rsidRPr="00521A4E">
        <w:rPr>
          <w:rFonts w:cs="Times"/>
          <w:szCs w:val="20"/>
        </w:rPr>
        <w:t xml:space="preserve"> which </w:t>
      </w:r>
      <w:r w:rsidR="00131AD0" w:rsidRPr="00521A4E">
        <w:rPr>
          <w:rFonts w:cs="Times"/>
          <w:szCs w:val="20"/>
        </w:rPr>
        <w:t xml:space="preserve">is </w:t>
      </w:r>
      <w:r w:rsidR="0031342B" w:rsidRPr="00521A4E">
        <w:rPr>
          <w:rFonts w:cs="Times"/>
          <w:szCs w:val="20"/>
        </w:rPr>
        <w:t>not overlapping with</w:t>
      </w:r>
      <w:r w:rsidR="00131AD0" w:rsidRPr="00521A4E">
        <w:rPr>
          <w:rFonts w:cs="Times"/>
          <w:szCs w:val="20"/>
        </w:rPr>
        <w:t xml:space="preserve"> the </w:t>
      </w:r>
      <w:r w:rsidR="007D5C0A" w:rsidRPr="00521A4E">
        <w:rPr>
          <w:rFonts w:cs="Times"/>
          <w:szCs w:val="20"/>
        </w:rPr>
        <w:t>IAB-MT’s active</w:t>
      </w:r>
      <w:r w:rsidR="00131AD0" w:rsidRPr="00521A4E">
        <w:rPr>
          <w:rFonts w:cs="Times"/>
          <w:szCs w:val="20"/>
        </w:rPr>
        <w:t xml:space="preserve"> BWP</w:t>
      </w:r>
      <w:r w:rsidR="009F71C0" w:rsidRPr="00521A4E">
        <w:rPr>
          <w:rFonts w:cs="Times"/>
          <w:szCs w:val="20"/>
        </w:rPr>
        <w:t>s, there is no need to coordinate IAB-MT and IAB-DU resources by providing H/S/NA configurations</w:t>
      </w:r>
      <w:r w:rsidR="00324674" w:rsidRPr="00521A4E">
        <w:rPr>
          <w:rFonts w:cs="Times"/>
          <w:szCs w:val="20"/>
        </w:rPr>
        <w:t>, see</w:t>
      </w:r>
      <w:r w:rsidR="00027141" w:rsidRPr="00521A4E">
        <w:rPr>
          <w:rFonts w:cs="Times"/>
          <w:szCs w:val="20"/>
        </w:rPr>
        <w:t>, e.g.,</w:t>
      </w:r>
      <w:r w:rsidR="00324674" w:rsidRPr="00521A4E">
        <w:rPr>
          <w:rFonts w:cs="Times"/>
          <w:szCs w:val="20"/>
        </w:rPr>
        <w:t xml:space="preserve"> RB set 0,8,9 in </w:t>
      </w:r>
      <w:r w:rsidR="00324674" w:rsidRPr="00521A4E">
        <w:rPr>
          <w:rFonts w:cs="Times"/>
          <w:szCs w:val="20"/>
        </w:rPr>
        <w:fldChar w:fldCharType="begin"/>
      </w:r>
      <w:r w:rsidR="00324674" w:rsidRPr="00521A4E">
        <w:rPr>
          <w:rFonts w:cs="Times"/>
          <w:szCs w:val="20"/>
        </w:rPr>
        <w:instrText xml:space="preserve"> REF _Ref83331123 \h </w:instrText>
      </w:r>
      <w:r w:rsidR="007E3B07" w:rsidRPr="00521A4E">
        <w:rPr>
          <w:rFonts w:cs="Times"/>
          <w:szCs w:val="20"/>
        </w:rPr>
        <w:instrText xml:space="preserve"> \* MERGEFORMAT </w:instrText>
      </w:r>
      <w:r w:rsidR="00F201E9">
        <w:rPr>
          <w:rFonts w:cs="Times"/>
          <w:szCs w:val="20"/>
        </w:rPr>
        <w:fldChar w:fldCharType="separate"/>
      </w:r>
      <w:r w:rsidR="00F201E9">
        <w:rPr>
          <w:rFonts w:cs="Times"/>
          <w:b/>
          <w:bCs/>
          <w:szCs w:val="20"/>
        </w:rPr>
        <w:t>Error! Reference source not found.</w:t>
      </w:r>
      <w:r w:rsidR="00324674" w:rsidRPr="00521A4E">
        <w:rPr>
          <w:rFonts w:cs="Times"/>
          <w:szCs w:val="20"/>
        </w:rPr>
        <w:fldChar w:fldCharType="end"/>
      </w:r>
      <w:r w:rsidR="00324674" w:rsidRPr="00521A4E">
        <w:rPr>
          <w:rFonts w:cs="Times"/>
          <w:szCs w:val="20"/>
        </w:rPr>
        <w:t>a)</w:t>
      </w:r>
      <w:r w:rsidR="009F71C0" w:rsidRPr="00521A4E">
        <w:rPr>
          <w:rFonts w:cs="Times"/>
          <w:szCs w:val="20"/>
        </w:rPr>
        <w:t xml:space="preserve">. </w:t>
      </w:r>
      <w:r w:rsidR="00BE2157" w:rsidRPr="00521A4E">
        <w:rPr>
          <w:rFonts w:cs="Times"/>
          <w:szCs w:val="20"/>
        </w:rPr>
        <w:t>More i</w:t>
      </w:r>
      <w:r w:rsidR="00027141" w:rsidRPr="00521A4E">
        <w:rPr>
          <w:rFonts w:cs="Times"/>
          <w:szCs w:val="20"/>
        </w:rPr>
        <w:t xml:space="preserve">mportantly, the parent node </w:t>
      </w:r>
      <w:r w:rsidR="00BE2157" w:rsidRPr="00521A4E">
        <w:rPr>
          <w:rFonts w:cs="Times"/>
          <w:szCs w:val="20"/>
        </w:rPr>
        <w:t xml:space="preserve">does not necessarily know the IAB-DU’s carrier configuration. </w:t>
      </w:r>
      <w:r w:rsidR="009F71C0" w:rsidRPr="00521A4E">
        <w:rPr>
          <w:rFonts w:cs="Times"/>
          <w:szCs w:val="20"/>
        </w:rPr>
        <w:t xml:space="preserve">Hence, it is not necessary </w:t>
      </w:r>
      <w:r w:rsidR="00BE2157" w:rsidRPr="00521A4E">
        <w:rPr>
          <w:rFonts w:cs="Times"/>
          <w:szCs w:val="20"/>
        </w:rPr>
        <w:t xml:space="preserve">or even feasible </w:t>
      </w:r>
      <w:r w:rsidR="009F71C0" w:rsidRPr="00521A4E">
        <w:rPr>
          <w:rFonts w:cs="Times"/>
          <w:szCs w:val="20"/>
        </w:rPr>
        <w:t xml:space="preserve">to configure RB sets </w:t>
      </w:r>
      <w:r w:rsidR="00324674" w:rsidRPr="00521A4E">
        <w:rPr>
          <w:rFonts w:cs="Times"/>
          <w:szCs w:val="20"/>
        </w:rPr>
        <w:t xml:space="preserve">and frequency domain H/S/NA </w:t>
      </w:r>
      <w:r w:rsidR="009F71C0" w:rsidRPr="00521A4E">
        <w:rPr>
          <w:rFonts w:cs="Times"/>
          <w:szCs w:val="20"/>
        </w:rPr>
        <w:t xml:space="preserve">for IAB-DU resource </w:t>
      </w:r>
      <w:r w:rsidR="00324674" w:rsidRPr="00521A4E">
        <w:rPr>
          <w:rFonts w:cs="Times"/>
          <w:szCs w:val="20"/>
        </w:rPr>
        <w:t>outside</w:t>
      </w:r>
      <w:r w:rsidR="009F71C0" w:rsidRPr="00521A4E">
        <w:rPr>
          <w:rFonts w:cs="Times"/>
          <w:szCs w:val="20"/>
        </w:rPr>
        <w:t xml:space="preserve"> the </w:t>
      </w:r>
      <w:r w:rsidR="00027141" w:rsidRPr="00521A4E">
        <w:rPr>
          <w:rFonts w:cs="Times"/>
          <w:szCs w:val="20"/>
        </w:rPr>
        <w:t>IAB-MT’s active</w:t>
      </w:r>
      <w:r w:rsidR="009F71C0" w:rsidRPr="00521A4E">
        <w:rPr>
          <w:rFonts w:cs="Times"/>
          <w:szCs w:val="20"/>
        </w:rPr>
        <w:t xml:space="preserve"> BWPs. </w:t>
      </w:r>
      <w:r w:rsidR="00BE2157" w:rsidRPr="00521A4E">
        <w:rPr>
          <w:rFonts w:cs="Times"/>
          <w:szCs w:val="20"/>
        </w:rPr>
        <w:t xml:space="preserve">Due to the agreement of a single </w:t>
      </w:r>
      <w:r w:rsidR="00DA55C2" w:rsidRPr="00521A4E">
        <w:rPr>
          <w:rFonts w:cs="Times"/>
          <w:szCs w:val="20"/>
        </w:rPr>
        <w:t xml:space="preserve">value for the RB set size, </w:t>
      </w:r>
      <w:r w:rsidR="00CB568B" w:rsidRPr="00521A4E">
        <w:rPr>
          <w:rFonts w:cs="Times"/>
          <w:szCs w:val="20"/>
        </w:rPr>
        <w:t>a</w:t>
      </w:r>
      <w:r w:rsidR="0031342B" w:rsidRPr="00521A4E">
        <w:rPr>
          <w:rFonts w:cs="Times"/>
          <w:szCs w:val="20"/>
        </w:rPr>
        <w:t xml:space="preserve"> more resource efficient</w:t>
      </w:r>
      <w:r w:rsidR="003268F4" w:rsidRPr="00521A4E">
        <w:rPr>
          <w:rFonts w:cs="Times"/>
          <w:szCs w:val="20"/>
        </w:rPr>
        <w:t xml:space="preserve"> </w:t>
      </w:r>
      <w:r w:rsidR="0031342B" w:rsidRPr="00521A4E">
        <w:rPr>
          <w:rFonts w:cs="Times"/>
          <w:szCs w:val="20"/>
        </w:rPr>
        <w:t>alternative</w:t>
      </w:r>
      <w:r w:rsidR="003268F4" w:rsidRPr="00521A4E">
        <w:rPr>
          <w:rFonts w:cs="Times"/>
          <w:szCs w:val="20"/>
        </w:rPr>
        <w:t xml:space="preserve"> is to configure RB sets based on the union of the configured IAB-MT BWPs</w:t>
      </w:r>
      <w:r w:rsidR="00324674" w:rsidRPr="00521A4E">
        <w:rPr>
          <w:rFonts w:cs="Times"/>
          <w:szCs w:val="20"/>
        </w:rPr>
        <w:t xml:space="preserve">, see </w:t>
      </w:r>
      <w:r w:rsidR="00324674" w:rsidRPr="00521A4E">
        <w:rPr>
          <w:rFonts w:cs="Times"/>
          <w:szCs w:val="20"/>
        </w:rPr>
        <w:fldChar w:fldCharType="begin"/>
      </w:r>
      <w:r w:rsidR="00324674" w:rsidRPr="00521A4E">
        <w:rPr>
          <w:rFonts w:cs="Times"/>
          <w:szCs w:val="20"/>
        </w:rPr>
        <w:instrText xml:space="preserve"> REF _Ref83331123 \h </w:instrText>
      </w:r>
      <w:r w:rsidR="007E3B07" w:rsidRPr="00521A4E">
        <w:rPr>
          <w:rFonts w:cs="Times"/>
          <w:szCs w:val="20"/>
        </w:rPr>
        <w:instrText xml:space="preserve"> \* MERGEFORMAT </w:instrText>
      </w:r>
      <w:r w:rsidR="00F201E9">
        <w:rPr>
          <w:rFonts w:cs="Times"/>
          <w:szCs w:val="20"/>
        </w:rPr>
        <w:fldChar w:fldCharType="separate"/>
      </w:r>
      <w:r w:rsidR="00F201E9">
        <w:rPr>
          <w:rFonts w:cs="Times"/>
          <w:b/>
          <w:bCs/>
          <w:szCs w:val="20"/>
        </w:rPr>
        <w:t>Error! Reference source not found.</w:t>
      </w:r>
      <w:r w:rsidR="00324674" w:rsidRPr="00521A4E">
        <w:rPr>
          <w:rFonts w:cs="Times"/>
          <w:szCs w:val="20"/>
        </w:rPr>
        <w:fldChar w:fldCharType="end"/>
      </w:r>
      <w:r w:rsidR="00324674" w:rsidRPr="00521A4E">
        <w:rPr>
          <w:rFonts w:cs="Times"/>
          <w:szCs w:val="20"/>
        </w:rPr>
        <w:t>b)</w:t>
      </w:r>
      <w:r w:rsidR="003268F4" w:rsidRPr="00521A4E">
        <w:rPr>
          <w:rFonts w:cs="Times"/>
          <w:szCs w:val="20"/>
        </w:rPr>
        <w:t xml:space="preserve">. Another advantage of exploiting </w:t>
      </w:r>
      <w:r w:rsidR="001D3445" w:rsidRPr="00521A4E">
        <w:rPr>
          <w:rFonts w:cs="Times"/>
          <w:szCs w:val="20"/>
        </w:rPr>
        <w:t xml:space="preserve">the </w:t>
      </w:r>
      <w:r w:rsidR="003268F4" w:rsidRPr="00521A4E">
        <w:rPr>
          <w:rFonts w:cs="Times"/>
          <w:szCs w:val="20"/>
        </w:rPr>
        <w:t>IAB-MT</w:t>
      </w:r>
      <w:r w:rsidR="001D3445" w:rsidRPr="00521A4E">
        <w:rPr>
          <w:rFonts w:cs="Times"/>
          <w:szCs w:val="20"/>
        </w:rPr>
        <w:t>’s</w:t>
      </w:r>
      <w:r w:rsidR="003268F4" w:rsidRPr="00521A4E">
        <w:rPr>
          <w:rFonts w:cs="Times"/>
          <w:szCs w:val="20"/>
        </w:rPr>
        <w:t xml:space="preserve"> BWP is that the parent-node can have a </w:t>
      </w:r>
      <w:r w:rsidR="0031342B" w:rsidRPr="00521A4E">
        <w:rPr>
          <w:rFonts w:cs="Times"/>
          <w:szCs w:val="20"/>
        </w:rPr>
        <w:t>common view, as the donor-node and IAB-node, on the configured IAB-DU RB sets without additional signalling about the carrier configuration of the IAB-DU cell.</w:t>
      </w:r>
    </w:p>
    <w:p w14:paraId="739DF3BF" w14:textId="3E31FB11" w:rsidR="00331123" w:rsidRPr="00521A4E" w:rsidRDefault="00DA71EF" w:rsidP="008B71F6">
      <w:pPr>
        <w:keepNext/>
        <w:jc w:val="center"/>
      </w:pPr>
      <w:r w:rsidRPr="00521A4E">
        <w:rPr>
          <w:noProof/>
        </w:rPr>
        <w:lastRenderedPageBreak/>
        <w:drawing>
          <wp:inline distT="0" distB="0" distL="0" distR="0" wp14:anchorId="4E761327" wp14:editId="629AAED4">
            <wp:extent cx="6120765" cy="3326130"/>
            <wp:effectExtent l="0" t="0" r="0" b="0"/>
            <wp:docPr id="19" name="Picture 19"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326130"/>
                    </a:xfrm>
                    <a:prstGeom prst="rect">
                      <a:avLst/>
                    </a:prstGeom>
                  </pic:spPr>
                </pic:pic>
              </a:graphicData>
            </a:graphic>
          </wp:inline>
        </w:drawing>
      </w:r>
    </w:p>
    <w:p w14:paraId="0D9CD549" w14:textId="77777777" w:rsidR="00331123" w:rsidRPr="00521A4E" w:rsidRDefault="00331123" w:rsidP="008B71F6">
      <w:pPr>
        <w:keepNext/>
        <w:jc w:val="center"/>
      </w:pPr>
      <w:r w:rsidRPr="00521A4E">
        <w:t>1a) RB sets are configured for the entire IAB-DU cell.</w:t>
      </w:r>
    </w:p>
    <w:p w14:paraId="54AEFE67" w14:textId="1E7993AB" w:rsidR="00331123" w:rsidRPr="00521A4E" w:rsidRDefault="00DA71EF" w:rsidP="008B71F6">
      <w:pPr>
        <w:keepNext/>
        <w:jc w:val="center"/>
      </w:pPr>
      <w:r w:rsidRPr="00521A4E">
        <w:rPr>
          <w:noProof/>
        </w:rPr>
        <w:drawing>
          <wp:inline distT="0" distB="0" distL="0" distR="0" wp14:anchorId="379B2386" wp14:editId="321C478C">
            <wp:extent cx="6120765" cy="3326130"/>
            <wp:effectExtent l="0" t="0" r="0" b="0"/>
            <wp:docPr id="20" name="Picture 2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3326130"/>
                    </a:xfrm>
                    <a:prstGeom prst="rect">
                      <a:avLst/>
                    </a:prstGeom>
                  </pic:spPr>
                </pic:pic>
              </a:graphicData>
            </a:graphic>
          </wp:inline>
        </w:drawing>
      </w:r>
    </w:p>
    <w:p w14:paraId="586287B0" w14:textId="77777777" w:rsidR="00331123" w:rsidRPr="00521A4E" w:rsidRDefault="00331123" w:rsidP="008B71F6">
      <w:pPr>
        <w:keepNext/>
        <w:jc w:val="center"/>
      </w:pPr>
      <w:r w:rsidRPr="00521A4E">
        <w:t>1b) RB sets are configured for the union of configured IAB-MT BWPs.</w:t>
      </w:r>
    </w:p>
    <w:p w14:paraId="56FC55B6" w14:textId="2658B9C8" w:rsidR="00331123" w:rsidRPr="00521A4E" w:rsidRDefault="00331123" w:rsidP="008B71F6">
      <w:pPr>
        <w:pStyle w:val="Caption"/>
        <w:jc w:val="center"/>
      </w:pPr>
      <w:r w:rsidRPr="00521A4E">
        <w:t xml:space="preserve">Figure </w:t>
      </w:r>
      <w:r w:rsidRPr="00521A4E">
        <w:fldChar w:fldCharType="begin"/>
      </w:r>
      <w:r w:rsidRPr="00521A4E">
        <w:instrText xml:space="preserve"> SEQ Figure \* ARABIC </w:instrText>
      </w:r>
      <w:r w:rsidRPr="00521A4E">
        <w:fldChar w:fldCharType="separate"/>
      </w:r>
      <w:r w:rsidR="00F201E9">
        <w:rPr>
          <w:noProof/>
        </w:rPr>
        <w:t>1</w:t>
      </w:r>
      <w:r w:rsidRPr="00521A4E">
        <w:fldChar w:fldCharType="end"/>
      </w:r>
      <w:r w:rsidRPr="00521A4E">
        <w:t>: Example of IAB-MT configured with multiple BWPs and corresponding RB set mapping.</w:t>
      </w:r>
    </w:p>
    <w:p w14:paraId="6CCBD36D" w14:textId="47125797" w:rsidR="00331123" w:rsidRPr="00521A4E" w:rsidRDefault="00331123" w:rsidP="00F364B7">
      <w:pPr>
        <w:jc w:val="both"/>
      </w:pPr>
      <w:r w:rsidRPr="00521A4E">
        <w:t xml:space="preserve">Alternatively, in the RAN1#106bis meeting, there is an FFS on the number of different frequency domain resource configuration for an IAB-DU cell at a given time. It is preferred that the frequency H/S/NA configuration is provided per BWP given the common N. For example, it is evident in </w:t>
      </w:r>
      <w:r w:rsidRPr="00521A4E">
        <w:fldChar w:fldCharType="begin"/>
      </w:r>
      <w:r w:rsidRPr="00521A4E">
        <w:instrText xml:space="preserve"> REF _Ref86772414 \h </w:instrText>
      </w:r>
      <w:r w:rsidR="007E3B07" w:rsidRPr="00521A4E">
        <w:instrText xml:space="preserve"> \* MERGEFORMAT </w:instrText>
      </w:r>
      <w:r w:rsidR="00F201E9">
        <w:fldChar w:fldCharType="separate"/>
      </w:r>
      <w:r w:rsidR="00F201E9">
        <w:rPr>
          <w:b/>
          <w:bCs/>
        </w:rPr>
        <w:t>Error! Reference source not found.</w:t>
      </w:r>
      <w:r w:rsidRPr="00521A4E">
        <w:fldChar w:fldCharType="end"/>
      </w:r>
      <w:r w:rsidRPr="00521A4E">
        <w:t xml:space="preserve"> that BWP1 and BWP2, due to their different sizes, should be configured differently. Another reason why different configurations are preferable is that an efficient RB set configuration can be provided according to the BWP configuration.</w:t>
      </w:r>
    </w:p>
    <w:p w14:paraId="627AFBF9" w14:textId="3922CE74" w:rsidR="00331123" w:rsidRPr="00521A4E" w:rsidRDefault="003D493E" w:rsidP="008B71F6">
      <w:pPr>
        <w:keepNext/>
        <w:jc w:val="center"/>
      </w:pPr>
      <w:r w:rsidRPr="00521A4E">
        <w:rPr>
          <w:noProof/>
        </w:rPr>
        <w:lastRenderedPageBreak/>
        <w:drawing>
          <wp:inline distT="0" distB="0" distL="0" distR="0" wp14:anchorId="2939223F" wp14:editId="7654B721">
            <wp:extent cx="5961600" cy="4323600"/>
            <wp:effectExtent l="0" t="0" r="1270" b="0"/>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961600" cy="4323600"/>
                    </a:xfrm>
                    <a:prstGeom prst="rect">
                      <a:avLst/>
                    </a:prstGeom>
                  </pic:spPr>
                </pic:pic>
              </a:graphicData>
            </a:graphic>
          </wp:inline>
        </w:drawing>
      </w:r>
    </w:p>
    <w:p w14:paraId="210D983B" w14:textId="37BAE641" w:rsidR="000E61D4" w:rsidRPr="00F364B7" w:rsidRDefault="00331123" w:rsidP="00F364B7">
      <w:pPr>
        <w:pStyle w:val="Caption"/>
        <w:jc w:val="center"/>
      </w:pPr>
      <w:r w:rsidRPr="00521A4E">
        <w:t xml:space="preserve">Figure </w:t>
      </w:r>
      <w:r w:rsidRPr="00521A4E">
        <w:fldChar w:fldCharType="begin"/>
      </w:r>
      <w:r w:rsidRPr="00521A4E">
        <w:instrText xml:space="preserve"> SEQ Figure \* ARABIC </w:instrText>
      </w:r>
      <w:r w:rsidRPr="00521A4E">
        <w:fldChar w:fldCharType="separate"/>
      </w:r>
      <w:r w:rsidR="00F201E9">
        <w:rPr>
          <w:noProof/>
        </w:rPr>
        <w:t>2</w:t>
      </w:r>
      <w:r w:rsidRPr="00521A4E">
        <w:fldChar w:fldCharType="end"/>
      </w:r>
      <w:r w:rsidRPr="00521A4E">
        <w:t>: Per-BWP frequency domain resource configuration and RB set mapping.</w:t>
      </w:r>
    </w:p>
    <w:p w14:paraId="27F433E5" w14:textId="237D3C1B" w:rsidR="001427A6" w:rsidRPr="00521A4E" w:rsidRDefault="0031342B" w:rsidP="007E3B07">
      <w:pPr>
        <w:jc w:val="both"/>
        <w:rPr>
          <w:rFonts w:cs="Times"/>
          <w:szCs w:val="20"/>
        </w:rPr>
      </w:pPr>
      <w:r w:rsidRPr="00521A4E">
        <w:rPr>
          <w:rFonts w:cs="Times"/>
          <w:szCs w:val="20"/>
        </w:rPr>
        <w:t>Moreover</w:t>
      </w:r>
      <w:r w:rsidR="004863DE" w:rsidRPr="00521A4E">
        <w:rPr>
          <w:rFonts w:cs="Times"/>
          <w:szCs w:val="20"/>
        </w:rPr>
        <w:t xml:space="preserve">, for RB sets which are </w:t>
      </w:r>
      <w:r w:rsidR="009630AB" w:rsidRPr="00521A4E">
        <w:rPr>
          <w:rFonts w:cs="Times"/>
          <w:szCs w:val="20"/>
        </w:rPr>
        <w:t>non-</w:t>
      </w:r>
      <w:r w:rsidR="004863DE" w:rsidRPr="00521A4E">
        <w:rPr>
          <w:rFonts w:cs="Times"/>
          <w:szCs w:val="20"/>
        </w:rPr>
        <w:t>overlapping with the IAB-MT</w:t>
      </w:r>
      <w:r w:rsidR="009630AB" w:rsidRPr="00521A4E">
        <w:rPr>
          <w:rFonts w:cs="Times"/>
          <w:szCs w:val="20"/>
        </w:rPr>
        <w:t>’s active</w:t>
      </w:r>
      <w:r w:rsidR="004863DE" w:rsidRPr="00521A4E">
        <w:rPr>
          <w:rFonts w:cs="Times"/>
          <w:szCs w:val="20"/>
        </w:rPr>
        <w:t xml:space="preserve"> BWP, it is not necessary for the IAB-DU to adhere </w:t>
      </w:r>
      <w:r w:rsidR="009630AB" w:rsidRPr="00521A4E">
        <w:rPr>
          <w:rFonts w:cs="Times"/>
          <w:szCs w:val="20"/>
        </w:rPr>
        <w:t xml:space="preserve">to </w:t>
      </w:r>
      <w:r w:rsidR="004863DE" w:rsidRPr="00521A4E">
        <w:rPr>
          <w:rFonts w:cs="Times"/>
          <w:szCs w:val="20"/>
        </w:rPr>
        <w:t>the configured frequency domain H/S/NA</w:t>
      </w:r>
      <w:r w:rsidR="00134306" w:rsidRPr="00521A4E">
        <w:rPr>
          <w:rFonts w:cs="Times"/>
          <w:szCs w:val="20"/>
        </w:rPr>
        <w:t xml:space="preserve"> or even for such to be config</w:t>
      </w:r>
      <w:r w:rsidR="00E06807" w:rsidRPr="00521A4E">
        <w:rPr>
          <w:rFonts w:cs="Times"/>
          <w:szCs w:val="20"/>
        </w:rPr>
        <w:t>u</w:t>
      </w:r>
      <w:r w:rsidR="00134306" w:rsidRPr="00521A4E">
        <w:rPr>
          <w:rFonts w:cs="Times"/>
          <w:szCs w:val="20"/>
        </w:rPr>
        <w:t>red</w:t>
      </w:r>
      <w:r w:rsidR="004863DE" w:rsidRPr="00521A4E">
        <w:rPr>
          <w:rFonts w:cs="Times"/>
          <w:szCs w:val="20"/>
        </w:rPr>
        <w:t>.</w:t>
      </w:r>
      <w:r w:rsidR="0087677E" w:rsidRPr="00521A4E">
        <w:rPr>
          <w:rFonts w:cs="Times"/>
          <w:szCs w:val="20"/>
        </w:rPr>
        <w:t xml:space="preserve"> These resources can be used by </w:t>
      </w:r>
      <w:r w:rsidR="00134306" w:rsidRPr="00521A4E">
        <w:rPr>
          <w:rFonts w:cs="Times"/>
          <w:szCs w:val="20"/>
        </w:rPr>
        <w:t xml:space="preserve">the </w:t>
      </w:r>
      <w:r w:rsidR="0087677E" w:rsidRPr="00521A4E">
        <w:rPr>
          <w:rFonts w:cs="Times"/>
          <w:szCs w:val="20"/>
        </w:rPr>
        <w:t>IAB-DU without considering the impact on the IAB-MT.</w:t>
      </w:r>
      <w:r w:rsidR="003268F4" w:rsidRPr="00521A4E">
        <w:rPr>
          <w:rFonts w:cs="Times"/>
          <w:szCs w:val="20"/>
        </w:rPr>
        <w:t xml:space="preserve"> </w:t>
      </w:r>
      <w:r w:rsidR="004863DE" w:rsidRPr="00521A4E">
        <w:rPr>
          <w:rFonts w:cs="Times"/>
          <w:szCs w:val="20"/>
        </w:rPr>
        <w:t>Finally</w:t>
      </w:r>
      <w:r w:rsidR="001427A6" w:rsidRPr="00521A4E">
        <w:rPr>
          <w:rFonts w:cs="Times"/>
          <w:szCs w:val="20"/>
        </w:rPr>
        <w:t>, a</w:t>
      </w:r>
      <w:r w:rsidR="00575A83" w:rsidRPr="00521A4E">
        <w:rPr>
          <w:rFonts w:cs="Times"/>
          <w:szCs w:val="20"/>
        </w:rPr>
        <w:t xml:space="preserve">s illustrated in </w:t>
      </w:r>
      <w:r w:rsidR="00575A83" w:rsidRPr="00521A4E">
        <w:rPr>
          <w:rFonts w:cs="Times"/>
          <w:szCs w:val="20"/>
        </w:rPr>
        <w:fldChar w:fldCharType="begin"/>
      </w:r>
      <w:r w:rsidR="00575A83" w:rsidRPr="00521A4E">
        <w:rPr>
          <w:rFonts w:cs="Times"/>
          <w:szCs w:val="20"/>
        </w:rPr>
        <w:instrText xml:space="preserve"> REF _Ref83331123 \h </w:instrText>
      </w:r>
      <w:r w:rsidR="007E3B07" w:rsidRPr="00521A4E">
        <w:rPr>
          <w:rFonts w:cs="Times"/>
          <w:szCs w:val="20"/>
        </w:rPr>
        <w:instrText xml:space="preserve"> \* MERGEFORMAT </w:instrText>
      </w:r>
      <w:r w:rsidR="00F201E9">
        <w:rPr>
          <w:rFonts w:cs="Times"/>
          <w:szCs w:val="20"/>
        </w:rPr>
        <w:fldChar w:fldCharType="separate"/>
      </w:r>
      <w:r w:rsidR="00F201E9">
        <w:rPr>
          <w:rFonts w:cs="Times"/>
          <w:b/>
          <w:bCs/>
          <w:szCs w:val="20"/>
        </w:rPr>
        <w:t>Error! Reference source not found.</w:t>
      </w:r>
      <w:r w:rsidR="00575A83" w:rsidRPr="00521A4E">
        <w:rPr>
          <w:rFonts w:cs="Times"/>
          <w:szCs w:val="20"/>
        </w:rPr>
        <w:fldChar w:fldCharType="end"/>
      </w:r>
      <w:r w:rsidR="00575A83" w:rsidRPr="00521A4E">
        <w:rPr>
          <w:rFonts w:cs="Times"/>
          <w:szCs w:val="20"/>
        </w:rPr>
        <w:t xml:space="preserve">, </w:t>
      </w:r>
      <w:r w:rsidR="00134306" w:rsidRPr="00521A4E">
        <w:rPr>
          <w:rFonts w:cs="Times"/>
          <w:szCs w:val="20"/>
        </w:rPr>
        <w:t>there</w:t>
      </w:r>
      <w:r w:rsidR="00575A83" w:rsidRPr="00521A4E">
        <w:rPr>
          <w:rFonts w:cs="Times"/>
          <w:szCs w:val="20"/>
        </w:rPr>
        <w:t xml:space="preserve"> could</w:t>
      </w:r>
      <w:r w:rsidR="002978EB" w:rsidRPr="00521A4E">
        <w:rPr>
          <w:rFonts w:cs="Times"/>
          <w:szCs w:val="20"/>
        </w:rPr>
        <w:t xml:space="preserve"> be</w:t>
      </w:r>
      <w:r w:rsidR="00575A83" w:rsidRPr="00521A4E">
        <w:rPr>
          <w:rFonts w:cs="Times"/>
          <w:szCs w:val="20"/>
        </w:rPr>
        <w:t xml:space="preserve"> </w:t>
      </w:r>
      <w:r w:rsidR="00134306" w:rsidRPr="00521A4E">
        <w:rPr>
          <w:rFonts w:cs="Times"/>
          <w:szCs w:val="20"/>
        </w:rPr>
        <w:t xml:space="preserve">an </w:t>
      </w:r>
      <w:r w:rsidR="00575A83" w:rsidRPr="00521A4E">
        <w:rPr>
          <w:rFonts w:cs="Times"/>
          <w:szCs w:val="20"/>
        </w:rPr>
        <w:t>incomplete RB set</w:t>
      </w:r>
      <w:r w:rsidR="00134306" w:rsidRPr="00521A4E">
        <w:rPr>
          <w:rFonts w:cs="Times"/>
          <w:szCs w:val="20"/>
        </w:rPr>
        <w:t>,</w:t>
      </w:r>
      <w:r w:rsidR="001427A6" w:rsidRPr="00521A4E">
        <w:rPr>
          <w:rFonts w:cs="Times"/>
          <w:szCs w:val="20"/>
        </w:rPr>
        <w:t xml:space="preserve"> consist</w:t>
      </w:r>
      <w:r w:rsidR="006548C2" w:rsidRPr="00521A4E">
        <w:rPr>
          <w:rFonts w:cs="Times"/>
          <w:szCs w:val="20"/>
        </w:rPr>
        <w:t>ing of fewer</w:t>
      </w:r>
      <w:r w:rsidR="001427A6" w:rsidRPr="00521A4E">
        <w:rPr>
          <w:rFonts w:cs="Times"/>
          <w:szCs w:val="20"/>
        </w:rPr>
        <w:t xml:space="preserve"> than N PRBs</w:t>
      </w:r>
      <w:r w:rsidR="00762306" w:rsidRPr="00521A4E">
        <w:rPr>
          <w:rFonts w:cs="Times"/>
          <w:szCs w:val="20"/>
        </w:rPr>
        <w:t xml:space="preserve">, </w:t>
      </w:r>
      <w:r w:rsidR="0087677E" w:rsidRPr="00521A4E">
        <w:rPr>
          <w:rFonts w:cs="Times"/>
          <w:szCs w:val="20"/>
        </w:rPr>
        <w:t>see</w:t>
      </w:r>
      <w:r w:rsidR="00762306" w:rsidRPr="00521A4E">
        <w:rPr>
          <w:rFonts w:cs="Times"/>
          <w:szCs w:val="20"/>
        </w:rPr>
        <w:t xml:space="preserve"> RB set 9</w:t>
      </w:r>
      <w:r w:rsidR="001427A6" w:rsidRPr="00521A4E">
        <w:rPr>
          <w:rFonts w:cs="Times"/>
          <w:szCs w:val="20"/>
        </w:rPr>
        <w:t xml:space="preserve"> </w:t>
      </w:r>
      <w:r w:rsidR="0087677E" w:rsidRPr="00521A4E">
        <w:rPr>
          <w:rFonts w:cs="Times"/>
          <w:szCs w:val="20"/>
        </w:rPr>
        <w:t xml:space="preserve">and RB set 6 </w:t>
      </w:r>
      <w:r w:rsidR="001427A6" w:rsidRPr="00521A4E">
        <w:rPr>
          <w:rFonts w:cs="Times"/>
          <w:szCs w:val="20"/>
        </w:rPr>
        <w:t xml:space="preserve">in </w:t>
      </w:r>
      <w:r w:rsidR="001427A6" w:rsidRPr="00521A4E">
        <w:rPr>
          <w:rFonts w:cs="Times"/>
          <w:szCs w:val="20"/>
        </w:rPr>
        <w:fldChar w:fldCharType="begin"/>
      </w:r>
      <w:r w:rsidR="001427A6" w:rsidRPr="00521A4E">
        <w:rPr>
          <w:rFonts w:cs="Times"/>
          <w:szCs w:val="20"/>
        </w:rPr>
        <w:instrText xml:space="preserve"> REF _Ref83331123 \h </w:instrText>
      </w:r>
      <w:r w:rsidR="007E3B07" w:rsidRPr="00521A4E">
        <w:rPr>
          <w:rFonts w:cs="Times"/>
          <w:szCs w:val="20"/>
        </w:rPr>
        <w:instrText xml:space="preserve"> \* MERGEFORMAT </w:instrText>
      </w:r>
      <w:r w:rsidR="00F201E9">
        <w:rPr>
          <w:rFonts w:cs="Times"/>
          <w:szCs w:val="20"/>
        </w:rPr>
        <w:fldChar w:fldCharType="separate"/>
      </w:r>
      <w:r w:rsidR="00F201E9">
        <w:rPr>
          <w:rFonts w:cs="Times"/>
          <w:b/>
          <w:bCs/>
          <w:szCs w:val="20"/>
        </w:rPr>
        <w:t>Error! Reference source not found.</w:t>
      </w:r>
      <w:r w:rsidR="001427A6" w:rsidRPr="00521A4E">
        <w:rPr>
          <w:rFonts w:cs="Times"/>
          <w:szCs w:val="20"/>
        </w:rPr>
        <w:fldChar w:fldCharType="end"/>
      </w:r>
      <w:r w:rsidR="001427A6" w:rsidRPr="00521A4E">
        <w:rPr>
          <w:rFonts w:cs="Times"/>
          <w:szCs w:val="20"/>
        </w:rPr>
        <w:t xml:space="preserve">a) and </w:t>
      </w:r>
      <w:r w:rsidR="001427A6" w:rsidRPr="00521A4E">
        <w:rPr>
          <w:rFonts w:cs="Times"/>
          <w:szCs w:val="20"/>
        </w:rPr>
        <w:fldChar w:fldCharType="begin"/>
      </w:r>
      <w:r w:rsidR="001427A6" w:rsidRPr="00521A4E">
        <w:rPr>
          <w:rFonts w:cs="Times"/>
          <w:szCs w:val="20"/>
        </w:rPr>
        <w:instrText xml:space="preserve"> REF _Ref83331123 \h </w:instrText>
      </w:r>
      <w:r w:rsidR="007E3B07" w:rsidRPr="00521A4E">
        <w:rPr>
          <w:rFonts w:cs="Times"/>
          <w:szCs w:val="20"/>
        </w:rPr>
        <w:instrText xml:space="preserve"> \* MERGEFORMAT </w:instrText>
      </w:r>
      <w:r w:rsidR="00F201E9">
        <w:rPr>
          <w:rFonts w:cs="Times"/>
          <w:szCs w:val="20"/>
        </w:rPr>
        <w:fldChar w:fldCharType="separate"/>
      </w:r>
      <w:r w:rsidR="00F201E9">
        <w:rPr>
          <w:rFonts w:cs="Times"/>
          <w:b/>
          <w:bCs/>
          <w:szCs w:val="20"/>
        </w:rPr>
        <w:t>Error! Reference source not found.</w:t>
      </w:r>
      <w:r w:rsidR="001427A6" w:rsidRPr="00521A4E">
        <w:rPr>
          <w:rFonts w:cs="Times"/>
          <w:szCs w:val="20"/>
        </w:rPr>
        <w:fldChar w:fldCharType="end"/>
      </w:r>
      <w:r w:rsidR="001427A6" w:rsidRPr="00521A4E">
        <w:rPr>
          <w:rFonts w:cs="Times"/>
          <w:szCs w:val="20"/>
        </w:rPr>
        <w:t>b)</w:t>
      </w:r>
      <w:r w:rsidR="0087677E" w:rsidRPr="00521A4E">
        <w:rPr>
          <w:rFonts w:cs="Times"/>
          <w:szCs w:val="20"/>
        </w:rPr>
        <w:t>, respectively</w:t>
      </w:r>
      <w:r w:rsidR="00575A83" w:rsidRPr="00521A4E">
        <w:rPr>
          <w:rFonts w:cs="Times"/>
          <w:szCs w:val="20"/>
        </w:rPr>
        <w:t>.</w:t>
      </w:r>
      <w:r w:rsidR="00590033" w:rsidRPr="00521A4E">
        <w:rPr>
          <w:rFonts w:cs="Times"/>
          <w:szCs w:val="20"/>
        </w:rPr>
        <w:t xml:space="preserve"> </w:t>
      </w:r>
      <w:r w:rsidR="00762306" w:rsidRPr="00521A4E">
        <w:rPr>
          <w:rFonts w:cs="Times"/>
          <w:szCs w:val="20"/>
        </w:rPr>
        <w:t xml:space="preserve">RAN 1 should </w:t>
      </w:r>
      <w:r w:rsidR="004863DE" w:rsidRPr="00521A4E">
        <w:rPr>
          <w:rFonts w:cs="Times"/>
          <w:szCs w:val="20"/>
        </w:rPr>
        <w:t xml:space="preserve">also </w:t>
      </w:r>
      <w:r w:rsidR="00762306" w:rsidRPr="00521A4E">
        <w:rPr>
          <w:rFonts w:cs="Times"/>
          <w:szCs w:val="20"/>
        </w:rPr>
        <w:t>discuss how many incomplete RB sets can be configured to each IAB-DU cell.</w:t>
      </w:r>
    </w:p>
    <w:p w14:paraId="547C8FCB" w14:textId="15A16A4A" w:rsidR="001427A6" w:rsidRPr="00521A4E" w:rsidRDefault="001427A6" w:rsidP="007E3B07">
      <w:pPr>
        <w:pStyle w:val="Observation"/>
      </w:pPr>
      <w:bookmarkStart w:id="12" w:name="_Toc87042220"/>
      <w:r w:rsidRPr="00521A4E">
        <w:t>For IAB-DU resource</w:t>
      </w:r>
      <w:r w:rsidR="00AD7CC1" w:rsidRPr="00521A4E">
        <w:t>s</w:t>
      </w:r>
      <w:r w:rsidRPr="00521A4E">
        <w:t xml:space="preserve"> </w:t>
      </w:r>
      <w:r w:rsidR="00AD7CC1" w:rsidRPr="00521A4E">
        <w:t>that are</w:t>
      </w:r>
      <w:r w:rsidRPr="00521A4E">
        <w:t xml:space="preserve"> outside the </w:t>
      </w:r>
      <w:r w:rsidR="006548C2" w:rsidRPr="00521A4E">
        <w:t>IAB-MT’s active</w:t>
      </w:r>
      <w:r w:rsidRPr="00521A4E">
        <w:t xml:space="preserve"> BWPs, there is no need to coordinate IAB-MT and IAB-DU resources by providing RB set configuration </w:t>
      </w:r>
      <w:r w:rsidR="00AD7CC1" w:rsidRPr="00521A4E">
        <w:t>or</w:t>
      </w:r>
      <w:r w:rsidRPr="00521A4E">
        <w:t xml:space="preserve"> H/S/NA configuration.</w:t>
      </w:r>
      <w:bookmarkEnd w:id="12"/>
    </w:p>
    <w:p w14:paraId="1439110B" w14:textId="7CDD7D63" w:rsidR="001427A6" w:rsidRPr="00521A4E" w:rsidRDefault="001427A6" w:rsidP="007E3B07">
      <w:pPr>
        <w:pStyle w:val="Observation"/>
      </w:pPr>
      <w:bookmarkStart w:id="13" w:name="_Toc87042221"/>
      <w:r w:rsidRPr="00521A4E">
        <w:t xml:space="preserve">For RB sets which </w:t>
      </w:r>
      <w:r w:rsidR="008568C4" w:rsidRPr="00521A4E">
        <w:t>are</w:t>
      </w:r>
      <w:r w:rsidRPr="00521A4E">
        <w:t xml:space="preserve"> </w:t>
      </w:r>
      <w:r w:rsidR="008568C4" w:rsidRPr="00521A4E">
        <w:t>non-</w:t>
      </w:r>
      <w:r w:rsidRPr="00521A4E">
        <w:t xml:space="preserve">overlapping with the </w:t>
      </w:r>
      <w:r w:rsidR="008568C4" w:rsidRPr="00521A4E">
        <w:t xml:space="preserve">IAB-MT’s </w:t>
      </w:r>
      <w:r w:rsidRPr="00521A4E">
        <w:t>active BWP, it is not necessary for the IAB-DU to adhere the configured frequency domain H/S/NA.</w:t>
      </w:r>
      <w:bookmarkEnd w:id="13"/>
    </w:p>
    <w:p w14:paraId="2045AA9F" w14:textId="5820404A" w:rsidR="004863DE" w:rsidRPr="00521A4E" w:rsidRDefault="004863DE" w:rsidP="007E3B07">
      <w:pPr>
        <w:pStyle w:val="Observation"/>
      </w:pPr>
      <w:bookmarkStart w:id="14" w:name="_Toc87042222"/>
      <w:r w:rsidRPr="00521A4E">
        <w:t xml:space="preserve">The parent DU does not know about </w:t>
      </w:r>
      <w:r w:rsidR="00831E1D" w:rsidRPr="00521A4E">
        <w:t>the carrier</w:t>
      </w:r>
      <w:r w:rsidRPr="00521A4E">
        <w:t xml:space="preserve"> bandwidth of the IAB-DU cell, and hence, the </w:t>
      </w:r>
      <w:r w:rsidR="003268F4" w:rsidRPr="00521A4E">
        <w:t>frequency domain mapping of the IAB-DU RB sets</w:t>
      </w:r>
      <w:r w:rsidR="00831E1D" w:rsidRPr="00521A4E">
        <w:t xml:space="preserve"> cannot be based on that</w:t>
      </w:r>
      <w:r w:rsidR="003268F4" w:rsidRPr="00521A4E">
        <w:t>.</w:t>
      </w:r>
      <w:bookmarkEnd w:id="14"/>
    </w:p>
    <w:p w14:paraId="5F9FBF60" w14:textId="49DC049D" w:rsidR="001F0486" w:rsidRPr="00521A4E" w:rsidRDefault="001F0486" w:rsidP="00F364B7">
      <w:pPr>
        <w:pStyle w:val="Observation"/>
      </w:pPr>
      <w:bookmarkStart w:id="15" w:name="_Toc87042223"/>
      <w:r w:rsidRPr="00521A4E">
        <w:t>The following alternatives are feasible for</w:t>
      </w:r>
      <w:r w:rsidR="008145B4" w:rsidRPr="00521A4E">
        <w:t xml:space="preserve"> </w:t>
      </w:r>
      <w:r w:rsidR="008A5E99" w:rsidRPr="00521A4E">
        <w:t xml:space="preserve">frequency domain </w:t>
      </w:r>
      <w:r w:rsidR="008145B4" w:rsidRPr="00521A4E">
        <w:t>H/S/NA configuration</w:t>
      </w:r>
      <w:r w:rsidR="00950D5A" w:rsidRPr="00521A4E">
        <w:t>:</w:t>
      </w:r>
      <w:bookmarkEnd w:id="15"/>
    </w:p>
    <w:p w14:paraId="26AB3C6F" w14:textId="20D393CD" w:rsidR="001F0486" w:rsidRPr="00521A4E" w:rsidRDefault="00950D5A" w:rsidP="00F364B7">
      <w:pPr>
        <w:pStyle w:val="Observation"/>
        <w:numPr>
          <w:ilvl w:val="0"/>
          <w:numId w:val="0"/>
        </w:numPr>
        <w:ind w:left="1701"/>
      </w:pPr>
      <w:bookmarkStart w:id="16" w:name="_Toc87042224"/>
      <w:r w:rsidRPr="00521A4E">
        <w:t>Alt</w:t>
      </w:r>
      <w:r w:rsidR="007450AA" w:rsidRPr="00521A4E">
        <w:t xml:space="preserve">. </w:t>
      </w:r>
      <w:r w:rsidRPr="00521A4E">
        <w:t>1: RB set configuration is based on IAB-DU carrier</w:t>
      </w:r>
      <w:r w:rsidR="003268F4" w:rsidRPr="00521A4E">
        <w:t xml:space="preserve"> and the parent node </w:t>
      </w:r>
      <w:r w:rsidR="00BA4AC8" w:rsidRPr="00521A4E">
        <w:t>is</w:t>
      </w:r>
      <w:r w:rsidR="003268F4" w:rsidRPr="00521A4E">
        <w:t xml:space="preserve"> made aware of the IAB-DU carrier.</w:t>
      </w:r>
      <w:bookmarkEnd w:id="16"/>
    </w:p>
    <w:p w14:paraId="07447A83" w14:textId="2DBEF67B" w:rsidR="00950D5A" w:rsidRPr="00521A4E" w:rsidRDefault="00950D5A" w:rsidP="007E3B07">
      <w:pPr>
        <w:pStyle w:val="Observation"/>
        <w:numPr>
          <w:ilvl w:val="0"/>
          <w:numId w:val="0"/>
        </w:numPr>
        <w:ind w:left="1701"/>
      </w:pPr>
      <w:bookmarkStart w:id="17" w:name="_Toc87042225"/>
      <w:r w:rsidRPr="00521A4E">
        <w:t>Alt</w:t>
      </w:r>
      <w:r w:rsidR="007450AA" w:rsidRPr="00521A4E">
        <w:t xml:space="preserve">. </w:t>
      </w:r>
      <w:r w:rsidRPr="00521A4E">
        <w:t>2: RB set configuration is based on the union of all IAB-MT’s BWPs</w:t>
      </w:r>
      <w:r w:rsidR="007450AA" w:rsidRPr="00521A4E">
        <w:t>.</w:t>
      </w:r>
      <w:bookmarkEnd w:id="17"/>
    </w:p>
    <w:p w14:paraId="4DBE0617" w14:textId="680946DF" w:rsidR="007450AA" w:rsidRPr="00521A4E" w:rsidRDefault="007450AA" w:rsidP="00F364B7">
      <w:pPr>
        <w:pStyle w:val="Observation"/>
        <w:numPr>
          <w:ilvl w:val="0"/>
          <w:numId w:val="0"/>
        </w:numPr>
        <w:ind w:left="1701"/>
      </w:pPr>
      <w:bookmarkStart w:id="18" w:name="_Toc87042226"/>
      <w:r w:rsidRPr="00521A4E">
        <w:t>Alt. 3: Per-BWP frequency domain H/S/NA configuration, including the RB set configuration.</w:t>
      </w:r>
      <w:bookmarkEnd w:id="18"/>
    </w:p>
    <w:p w14:paraId="68520D49" w14:textId="5D5C04BA" w:rsidR="001F0486" w:rsidRPr="00521A4E" w:rsidRDefault="001F0486" w:rsidP="00F364B7">
      <w:pPr>
        <w:jc w:val="both"/>
        <w:rPr>
          <w:lang w:eastAsia="ja-JP"/>
        </w:rPr>
      </w:pPr>
      <w:r w:rsidRPr="00521A4E">
        <w:rPr>
          <w:rFonts w:cs="Times"/>
          <w:szCs w:val="20"/>
        </w:rPr>
        <w:t>Based on the above observations, we propos</w:t>
      </w:r>
      <w:r w:rsidR="008A5E99" w:rsidRPr="00521A4E">
        <w:rPr>
          <w:rFonts w:cs="Times"/>
          <w:szCs w:val="20"/>
        </w:rPr>
        <w:t>e</w:t>
      </w:r>
      <w:r w:rsidRPr="00521A4E">
        <w:rPr>
          <w:rFonts w:cs="Times"/>
          <w:szCs w:val="20"/>
        </w:rPr>
        <w:t>:</w:t>
      </w:r>
    </w:p>
    <w:p w14:paraId="39D28191" w14:textId="7F568442" w:rsidR="001F0486" w:rsidRPr="00521A4E" w:rsidRDefault="008A5E99" w:rsidP="007E3B07">
      <w:pPr>
        <w:pStyle w:val="Proposal"/>
        <w:tabs>
          <w:tab w:val="clear" w:pos="1872"/>
        </w:tabs>
        <w:ind w:left="1304"/>
      </w:pPr>
      <w:bookmarkStart w:id="19" w:name="_Toc87042230"/>
      <w:r w:rsidRPr="00521A4E">
        <w:lastRenderedPageBreak/>
        <w:t>S</w:t>
      </w:r>
      <w:r w:rsidR="001F0486" w:rsidRPr="00521A4E">
        <w:t>upport per-BWP frequency domain H/S/NA configuration, including the RB set configuration.</w:t>
      </w:r>
      <w:bookmarkEnd w:id="19"/>
    </w:p>
    <w:p w14:paraId="3182D89C" w14:textId="31655447" w:rsidR="00AA5863" w:rsidRPr="00521A4E" w:rsidRDefault="00AA5863" w:rsidP="00F364B7">
      <w:pPr>
        <w:pStyle w:val="Proposal"/>
        <w:tabs>
          <w:tab w:val="clear" w:pos="1872"/>
        </w:tabs>
        <w:ind w:left="1304"/>
        <w:rPr>
          <w:lang w:eastAsia="ja-JP"/>
        </w:rPr>
      </w:pPr>
      <w:bookmarkStart w:id="20" w:name="_Toc87042231"/>
      <w:r w:rsidRPr="00521A4E">
        <w:rPr>
          <w:lang w:eastAsia="ja-JP"/>
        </w:rPr>
        <w:t xml:space="preserve">RB sets which are </w:t>
      </w:r>
      <w:r w:rsidR="00F664AD" w:rsidRPr="00521A4E">
        <w:rPr>
          <w:lang w:eastAsia="ja-JP"/>
        </w:rPr>
        <w:t>non-</w:t>
      </w:r>
      <w:r w:rsidRPr="00521A4E">
        <w:rPr>
          <w:lang w:eastAsia="ja-JP"/>
        </w:rPr>
        <w:t xml:space="preserve">overlapping with the </w:t>
      </w:r>
      <w:r w:rsidR="00F664AD" w:rsidRPr="00521A4E">
        <w:rPr>
          <w:lang w:eastAsia="ja-JP"/>
        </w:rPr>
        <w:t xml:space="preserve">IAB-MT’s </w:t>
      </w:r>
      <w:r w:rsidRPr="00521A4E">
        <w:rPr>
          <w:lang w:eastAsia="ja-JP"/>
        </w:rPr>
        <w:t>active BWP</w:t>
      </w:r>
      <w:r w:rsidR="00F664AD" w:rsidRPr="00521A4E">
        <w:rPr>
          <w:lang w:eastAsia="ja-JP"/>
        </w:rPr>
        <w:t>s</w:t>
      </w:r>
      <w:r w:rsidRPr="00521A4E">
        <w:rPr>
          <w:lang w:eastAsia="ja-JP"/>
        </w:rPr>
        <w:t xml:space="preserve">, </w:t>
      </w:r>
      <w:r w:rsidR="0054019B" w:rsidRPr="00521A4E">
        <w:rPr>
          <w:lang w:eastAsia="ja-JP"/>
        </w:rPr>
        <w:t>are treated as</w:t>
      </w:r>
      <w:r w:rsidR="00363193" w:rsidRPr="00521A4E">
        <w:rPr>
          <w:lang w:eastAsia="ja-JP"/>
        </w:rPr>
        <w:t xml:space="preserve"> Hard</w:t>
      </w:r>
      <w:r w:rsidR="0054019B" w:rsidRPr="00521A4E">
        <w:rPr>
          <w:lang w:eastAsia="ja-JP"/>
        </w:rPr>
        <w:t xml:space="preserve"> DU resource</w:t>
      </w:r>
      <w:r w:rsidR="00BA4AC8" w:rsidRPr="00521A4E">
        <w:rPr>
          <w:lang w:eastAsia="ja-JP"/>
        </w:rPr>
        <w:t>s</w:t>
      </w:r>
      <w:r w:rsidR="00363193" w:rsidRPr="00521A4E">
        <w:rPr>
          <w:lang w:eastAsia="ja-JP"/>
        </w:rPr>
        <w:t>.</w:t>
      </w:r>
      <w:bookmarkEnd w:id="20"/>
    </w:p>
    <w:p w14:paraId="6B043D92" w14:textId="5A3DE1E0" w:rsidR="00BB7FA5" w:rsidRPr="00521A4E" w:rsidRDefault="001427A6" w:rsidP="00F364B7">
      <w:pPr>
        <w:pStyle w:val="Proposal"/>
        <w:tabs>
          <w:tab w:val="clear" w:pos="1872"/>
        </w:tabs>
        <w:ind w:left="1304"/>
        <w:rPr>
          <w:lang w:eastAsia="en-GB"/>
        </w:rPr>
      </w:pPr>
      <w:bookmarkStart w:id="21" w:name="_Toc87042232"/>
      <w:r w:rsidRPr="00521A4E">
        <w:rPr>
          <w:lang w:eastAsia="ja-JP"/>
        </w:rPr>
        <w:t>RAN1 should discuss the indexing of RB sets (including complete and incomplete RB sets) and how many incomplete RB sets can be configured for each IAB-DU cell.</w:t>
      </w:r>
      <w:bookmarkEnd w:id="21"/>
      <w:r w:rsidRPr="00521A4E">
        <w:rPr>
          <w:lang w:eastAsia="ja-JP"/>
        </w:rPr>
        <w:t xml:space="preserve">  </w:t>
      </w:r>
      <w:bookmarkStart w:id="22" w:name="_Toc87034813"/>
      <w:bookmarkStart w:id="23" w:name="_Toc87035279"/>
      <w:bookmarkStart w:id="24" w:name="_Toc87034814"/>
      <w:bookmarkStart w:id="25" w:name="_Toc87035280"/>
      <w:bookmarkStart w:id="26" w:name="_Toc87034815"/>
      <w:bookmarkStart w:id="27" w:name="_Toc87035281"/>
      <w:bookmarkStart w:id="28" w:name="_Toc87034816"/>
      <w:bookmarkStart w:id="29" w:name="_Toc87035282"/>
      <w:bookmarkStart w:id="30" w:name="_Toc87034817"/>
      <w:bookmarkStart w:id="31" w:name="_Toc87035283"/>
      <w:bookmarkEnd w:id="22"/>
      <w:bookmarkEnd w:id="23"/>
      <w:bookmarkEnd w:id="24"/>
      <w:bookmarkEnd w:id="25"/>
      <w:bookmarkEnd w:id="26"/>
      <w:bookmarkEnd w:id="27"/>
      <w:bookmarkEnd w:id="28"/>
      <w:bookmarkEnd w:id="29"/>
      <w:bookmarkEnd w:id="30"/>
      <w:bookmarkEnd w:id="31"/>
    </w:p>
    <w:p w14:paraId="3BB236D2" w14:textId="495282F6" w:rsidR="0026693A" w:rsidRPr="00521A4E" w:rsidRDefault="00472708" w:rsidP="007E3B07">
      <w:pPr>
        <w:jc w:val="both"/>
      </w:pPr>
      <w:r w:rsidRPr="00521A4E">
        <w:t>In</w:t>
      </w:r>
      <w:r w:rsidR="00BF5B60" w:rsidRPr="00521A4E">
        <w:t xml:space="preserve"> </w:t>
      </w:r>
      <w:r w:rsidR="00E2654F" w:rsidRPr="00521A4E">
        <w:t>an</w:t>
      </w:r>
      <w:r w:rsidR="00BF5B60" w:rsidRPr="00521A4E">
        <w:t>other scenario</w:t>
      </w:r>
      <w:r w:rsidR="00E2654F" w:rsidRPr="00521A4E">
        <w:t>,</w:t>
      </w:r>
      <w:r w:rsidR="00BF5B60" w:rsidRPr="00521A4E">
        <w:t xml:space="preserve"> where one IAB-DU cell is overlapping with multiple IAB-MT cells which have different </w:t>
      </w:r>
      <w:r w:rsidR="0026693A" w:rsidRPr="00521A4E">
        <w:t xml:space="preserve">bandwidth part sizes, the IAB-DU cell should still be provided with </w:t>
      </w:r>
      <w:r w:rsidR="009E26DC" w:rsidRPr="00521A4E">
        <w:t>a single</w:t>
      </w:r>
      <w:r w:rsidR="0026693A" w:rsidRPr="00521A4E">
        <w:t xml:space="preserve"> N value. </w:t>
      </w:r>
      <w:r w:rsidR="0070672B" w:rsidRPr="00521A4E">
        <w:t xml:space="preserve">It is rational to assume that </w:t>
      </w:r>
      <w:r w:rsidR="00C50C94" w:rsidRPr="00521A4E">
        <w:rPr>
          <w:rFonts w:cs="Arial"/>
          <w:szCs w:val="20"/>
        </w:rPr>
        <w:t xml:space="preserve">N is derived based on the largest RBG size of all </w:t>
      </w:r>
      <w:r w:rsidR="00A159A7" w:rsidRPr="00521A4E">
        <w:rPr>
          <w:rFonts w:cs="Arial"/>
          <w:szCs w:val="20"/>
        </w:rPr>
        <w:t>IAB-</w:t>
      </w:r>
      <w:r w:rsidR="00C50C94" w:rsidRPr="00521A4E">
        <w:rPr>
          <w:rFonts w:cs="Arial"/>
          <w:szCs w:val="20"/>
        </w:rPr>
        <w:t>MT cells</w:t>
      </w:r>
      <w:r w:rsidR="00A159A7" w:rsidRPr="00521A4E">
        <w:rPr>
          <w:rFonts w:cs="Arial"/>
          <w:szCs w:val="20"/>
        </w:rPr>
        <w:t>.</w:t>
      </w:r>
    </w:p>
    <w:p w14:paraId="5E28AB3F" w14:textId="4A032C66" w:rsidR="00A1500E" w:rsidRPr="00521A4E" w:rsidRDefault="00BB7FA5" w:rsidP="00F364B7">
      <w:pPr>
        <w:pStyle w:val="Proposal"/>
        <w:tabs>
          <w:tab w:val="clear" w:pos="1872"/>
        </w:tabs>
        <w:ind w:left="1304"/>
      </w:pPr>
      <w:bookmarkStart w:id="32" w:name="_Toc87042233"/>
      <w:r w:rsidRPr="00521A4E">
        <w:rPr>
          <w:lang w:eastAsia="ja-JP"/>
        </w:rPr>
        <w:t>In case that an IAB-DU cell is overlapping with multiple IAB-MT</w:t>
      </w:r>
      <w:r w:rsidR="00907788" w:rsidRPr="00521A4E">
        <w:rPr>
          <w:lang w:eastAsia="ja-JP"/>
        </w:rPr>
        <w:t>’s serving</w:t>
      </w:r>
      <w:r w:rsidRPr="00521A4E">
        <w:rPr>
          <w:lang w:eastAsia="ja-JP"/>
        </w:rPr>
        <w:t xml:space="preserve"> cells, the IAB-DU cell is configured with one N value which is </w:t>
      </w:r>
      <w:r w:rsidR="00A159A7" w:rsidRPr="00521A4E">
        <w:rPr>
          <w:lang w:eastAsia="ja-JP"/>
        </w:rPr>
        <w:t xml:space="preserve">derived based on the largest RBG size of all IAB-MT cells and is </w:t>
      </w:r>
      <w:r w:rsidRPr="00521A4E">
        <w:rPr>
          <w:lang w:eastAsia="ja-JP"/>
        </w:rPr>
        <w:t>common to all</w:t>
      </w:r>
      <w:r w:rsidR="000A329F" w:rsidRPr="00521A4E">
        <w:rPr>
          <w:lang w:eastAsia="ja-JP"/>
        </w:rPr>
        <w:t xml:space="preserve"> the MT-BWPs.</w:t>
      </w:r>
      <w:bookmarkEnd w:id="32"/>
      <w:r w:rsidR="000A329F" w:rsidRPr="00521A4E">
        <w:rPr>
          <w:lang w:eastAsia="ja-JP"/>
        </w:rPr>
        <w:t xml:space="preserve"> </w:t>
      </w:r>
      <w:bookmarkStart w:id="33" w:name="_Toc86912232"/>
      <w:bookmarkStart w:id="34" w:name="_Toc86915064"/>
      <w:bookmarkStart w:id="35" w:name="_Toc86922919"/>
      <w:bookmarkStart w:id="36" w:name="_Toc86936114"/>
      <w:bookmarkStart w:id="37" w:name="_Toc86961920"/>
      <w:bookmarkStart w:id="38" w:name="_Toc86962083"/>
      <w:bookmarkStart w:id="39" w:name="_Toc86962456"/>
      <w:bookmarkStart w:id="40" w:name="_Toc87030591"/>
      <w:bookmarkStart w:id="41" w:name="_Toc87034820"/>
      <w:bookmarkStart w:id="42" w:name="_Toc87035286"/>
      <w:bookmarkStart w:id="43" w:name="_Toc86912233"/>
      <w:bookmarkStart w:id="44" w:name="_Toc86915065"/>
      <w:bookmarkStart w:id="45" w:name="_Toc86922920"/>
      <w:bookmarkStart w:id="46" w:name="_Toc86936115"/>
      <w:bookmarkStart w:id="47" w:name="_Toc86961921"/>
      <w:bookmarkStart w:id="48" w:name="_Toc86962084"/>
      <w:bookmarkStart w:id="49" w:name="_Toc86962457"/>
      <w:bookmarkStart w:id="50" w:name="_Toc87030592"/>
      <w:bookmarkStart w:id="51" w:name="_Toc87034821"/>
      <w:bookmarkStart w:id="52" w:name="_Toc87035287"/>
      <w:bookmarkStart w:id="53" w:name="_Toc86912234"/>
      <w:bookmarkStart w:id="54" w:name="_Toc86915066"/>
      <w:bookmarkStart w:id="55" w:name="_Toc86922921"/>
      <w:bookmarkStart w:id="56" w:name="_Toc86936116"/>
      <w:bookmarkStart w:id="57" w:name="_Toc86961922"/>
      <w:bookmarkStart w:id="58" w:name="_Toc86962085"/>
      <w:bookmarkStart w:id="59" w:name="_Toc86962458"/>
      <w:bookmarkStart w:id="60" w:name="_Toc87030593"/>
      <w:bookmarkStart w:id="61" w:name="_Toc87034822"/>
      <w:bookmarkStart w:id="62" w:name="_Toc87035288"/>
      <w:bookmarkStart w:id="63" w:name="_Toc86912235"/>
      <w:bookmarkStart w:id="64" w:name="_Toc86915067"/>
      <w:bookmarkStart w:id="65" w:name="_Toc86922922"/>
      <w:bookmarkStart w:id="66" w:name="_Toc86936117"/>
      <w:bookmarkStart w:id="67" w:name="_Toc86961923"/>
      <w:bookmarkStart w:id="68" w:name="_Toc86962086"/>
      <w:bookmarkStart w:id="69" w:name="_Toc86962459"/>
      <w:bookmarkStart w:id="70" w:name="_Toc87030594"/>
      <w:bookmarkStart w:id="71" w:name="_Toc87034823"/>
      <w:bookmarkStart w:id="72" w:name="_Toc87035289"/>
      <w:bookmarkStart w:id="73" w:name="_Toc86912236"/>
      <w:bookmarkStart w:id="74" w:name="_Toc86915068"/>
      <w:bookmarkStart w:id="75" w:name="_Toc86922923"/>
      <w:bookmarkStart w:id="76" w:name="_Toc86936118"/>
      <w:bookmarkStart w:id="77" w:name="_Toc86961924"/>
      <w:bookmarkStart w:id="78" w:name="_Toc86962087"/>
      <w:bookmarkStart w:id="79" w:name="_Toc86962460"/>
      <w:bookmarkStart w:id="80" w:name="_Toc87030595"/>
      <w:bookmarkStart w:id="81" w:name="_Toc87034824"/>
      <w:bookmarkStart w:id="82" w:name="_Toc87035290"/>
      <w:bookmarkStart w:id="83" w:name="_Toc86912237"/>
      <w:bookmarkStart w:id="84" w:name="_Toc86915069"/>
      <w:bookmarkStart w:id="85" w:name="_Toc86922924"/>
      <w:bookmarkStart w:id="86" w:name="_Toc86936119"/>
      <w:bookmarkStart w:id="87" w:name="_Toc86961925"/>
      <w:bookmarkStart w:id="88" w:name="_Toc86962088"/>
      <w:bookmarkStart w:id="89" w:name="_Toc86962461"/>
      <w:bookmarkStart w:id="90" w:name="_Toc87030596"/>
      <w:bookmarkStart w:id="91" w:name="_Toc87034825"/>
      <w:bookmarkStart w:id="92" w:name="_Toc8703529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FEC1567" w14:textId="028EF42D" w:rsidR="0073554E" w:rsidRPr="00521A4E" w:rsidRDefault="0073554E" w:rsidP="007E3B07">
      <w:pPr>
        <w:pStyle w:val="Heading3"/>
        <w:jc w:val="both"/>
        <w:rPr>
          <w:lang w:val="en-US"/>
        </w:rPr>
      </w:pPr>
      <w:r w:rsidRPr="00521A4E">
        <w:rPr>
          <w:lang w:val="en-US"/>
        </w:rPr>
        <w:t>Guard bands</w:t>
      </w:r>
    </w:p>
    <w:p w14:paraId="76DFEF1A" w14:textId="76CB1A9F" w:rsidR="009A6063" w:rsidRPr="00521A4E" w:rsidRDefault="009A6063" w:rsidP="007E3B07">
      <w:pPr>
        <w:jc w:val="both"/>
        <w:rPr>
          <w:rFonts w:cs="Arial"/>
          <w:szCs w:val="20"/>
        </w:rPr>
      </w:pPr>
      <w:r w:rsidRPr="00521A4E">
        <w:t>An</w:t>
      </w:r>
      <w:r w:rsidR="00304171" w:rsidRPr="00521A4E">
        <w:t>other</w:t>
      </w:r>
      <w:r w:rsidRPr="00521A4E">
        <w:t xml:space="preserve"> differing</w:t>
      </w:r>
      <w:r w:rsidRPr="00521A4E">
        <w:rPr>
          <w:rFonts w:cs="Arial"/>
          <w:szCs w:val="20"/>
        </w:rPr>
        <w:t xml:space="preserve"> aspect between time-domain and frequency-domain resources is the interference between adjacent resources. In the TDM case, if the IAB-DU</w:t>
      </w:r>
      <w:r w:rsidRPr="00521A4E" w:rsidDel="00C0143C">
        <w:rPr>
          <w:rFonts w:cs="Arial"/>
          <w:szCs w:val="20"/>
        </w:rPr>
        <w:t xml:space="preserve"> </w:t>
      </w:r>
      <w:r w:rsidRPr="00521A4E">
        <w:rPr>
          <w:rFonts w:cs="Arial"/>
          <w:szCs w:val="20"/>
        </w:rPr>
        <w:t>and IAB-MT use different slots, there is no interference between IAB-DU and IAB-MT. But in the FDM case, if IAB-DU uses RB</w:t>
      </w:r>
      <w:r w:rsidR="00BE46A7" w:rsidRPr="00521A4E">
        <w:rPr>
          <w:rFonts w:cs="Arial"/>
          <w:szCs w:val="20"/>
        </w:rPr>
        <w:t>-</w:t>
      </w:r>
      <w:r w:rsidR="00E9437C" w:rsidRPr="00521A4E">
        <w:rPr>
          <w:rFonts w:cs="Arial"/>
          <w:szCs w:val="20"/>
        </w:rPr>
        <w:t>Set</w:t>
      </w:r>
      <w:r w:rsidRPr="00521A4E">
        <w:rPr>
          <w:rFonts w:cs="Arial"/>
          <w:szCs w:val="20"/>
        </w:rPr>
        <w:t>1 and IAB-MT uses RB</w:t>
      </w:r>
      <w:r w:rsidR="00BE46A7" w:rsidRPr="00521A4E">
        <w:rPr>
          <w:rFonts w:cs="Arial"/>
          <w:szCs w:val="20"/>
        </w:rPr>
        <w:t>-</w:t>
      </w:r>
      <w:r w:rsidR="00E9437C" w:rsidRPr="00521A4E">
        <w:rPr>
          <w:rFonts w:cs="Arial"/>
          <w:szCs w:val="20"/>
        </w:rPr>
        <w:t>Set</w:t>
      </w:r>
      <w:r w:rsidRPr="00521A4E">
        <w:rPr>
          <w:rFonts w:cs="Arial"/>
          <w:szCs w:val="20"/>
        </w:rPr>
        <w:t>2, where RB</w:t>
      </w:r>
      <w:r w:rsidR="00BE46A7" w:rsidRPr="00521A4E">
        <w:rPr>
          <w:rFonts w:cs="Arial"/>
          <w:szCs w:val="20"/>
        </w:rPr>
        <w:t>-</w:t>
      </w:r>
      <w:r w:rsidR="00E9437C" w:rsidRPr="00521A4E">
        <w:rPr>
          <w:rFonts w:cs="Arial"/>
          <w:szCs w:val="20"/>
        </w:rPr>
        <w:t>Set</w:t>
      </w:r>
      <w:r w:rsidRPr="00521A4E">
        <w:rPr>
          <w:rFonts w:cs="Arial"/>
          <w:szCs w:val="20"/>
        </w:rPr>
        <w:t>1 and RB</w:t>
      </w:r>
      <w:r w:rsidR="00BE46A7" w:rsidRPr="00521A4E">
        <w:rPr>
          <w:rFonts w:cs="Arial"/>
          <w:szCs w:val="20"/>
        </w:rPr>
        <w:t>-</w:t>
      </w:r>
      <w:r w:rsidR="00E9437C" w:rsidRPr="00521A4E">
        <w:rPr>
          <w:rFonts w:cs="Arial"/>
          <w:szCs w:val="20"/>
        </w:rPr>
        <w:t>Set</w:t>
      </w:r>
      <w:r w:rsidRPr="00521A4E">
        <w:rPr>
          <w:rFonts w:cs="Arial"/>
          <w:szCs w:val="20"/>
        </w:rPr>
        <w:t>2 are contiguous</w:t>
      </w:r>
      <w:r w:rsidR="00B77AEC" w:rsidRPr="00521A4E">
        <w:rPr>
          <w:rFonts w:cs="Arial"/>
          <w:szCs w:val="20"/>
        </w:rPr>
        <w:t>, or adjacent</w:t>
      </w:r>
      <w:r w:rsidRPr="00521A4E">
        <w:rPr>
          <w:rFonts w:cs="Arial"/>
          <w:szCs w:val="20"/>
        </w:rPr>
        <w:t xml:space="preserve">, there may still be interference between IAB-DU and IAB-MT. This is particularly relevant if </w:t>
      </w:r>
      <w:r w:rsidR="006C7CF1" w:rsidRPr="00521A4E">
        <w:rPr>
          <w:rFonts w:cs="Arial"/>
          <w:szCs w:val="20"/>
        </w:rPr>
        <w:t>both dynamic or semi-static DL and UL power control is introduced, resulting in</w:t>
      </w:r>
      <w:r w:rsidRPr="00521A4E">
        <w:rPr>
          <w:rFonts w:cs="Arial"/>
          <w:szCs w:val="20"/>
        </w:rPr>
        <w:t xml:space="preserve"> the IAB-DU and IAB-MT us</w:t>
      </w:r>
      <w:r w:rsidR="00A15EF3" w:rsidRPr="00521A4E">
        <w:rPr>
          <w:rFonts w:cs="Arial"/>
          <w:szCs w:val="20"/>
        </w:rPr>
        <w:t>ing</w:t>
      </w:r>
      <w:r w:rsidRPr="00521A4E">
        <w:rPr>
          <w:rFonts w:cs="Arial"/>
          <w:szCs w:val="20"/>
        </w:rPr>
        <w:t xml:space="preserve"> different transmit power</w:t>
      </w:r>
      <w:r w:rsidR="000B07E4" w:rsidRPr="00521A4E">
        <w:rPr>
          <w:rFonts w:cs="Arial"/>
          <w:szCs w:val="20"/>
        </w:rPr>
        <w:t>s</w:t>
      </w:r>
      <w:r w:rsidRPr="00521A4E">
        <w:rPr>
          <w:rFonts w:cs="Arial"/>
          <w:szCs w:val="20"/>
        </w:rPr>
        <w:t xml:space="preserve"> </w:t>
      </w:r>
      <w:r w:rsidR="006C7CF1" w:rsidRPr="00521A4E">
        <w:rPr>
          <w:rFonts w:cs="Arial"/>
          <w:szCs w:val="20"/>
        </w:rPr>
        <w:t>and thereby introducing a variable</w:t>
      </w:r>
      <w:r w:rsidRPr="00521A4E">
        <w:rPr>
          <w:rFonts w:cs="Arial"/>
          <w:szCs w:val="20"/>
        </w:rPr>
        <w:t xml:space="preserve"> </w:t>
      </w:r>
      <w:r w:rsidR="0062372B" w:rsidRPr="00521A4E">
        <w:rPr>
          <w:rFonts w:cs="Arial"/>
          <w:szCs w:val="20"/>
        </w:rPr>
        <w:t>leakage (in analogy to ACLR) between resources used by IAB-MT and IAB-DU</w:t>
      </w:r>
      <w:r w:rsidRPr="00521A4E">
        <w:rPr>
          <w:rFonts w:cs="Arial"/>
          <w:szCs w:val="20"/>
        </w:rPr>
        <w:t xml:space="preserve"> or </w:t>
      </w:r>
      <w:r w:rsidR="006857EC" w:rsidRPr="00521A4E">
        <w:rPr>
          <w:rFonts w:cs="Arial"/>
          <w:szCs w:val="20"/>
        </w:rPr>
        <w:t xml:space="preserve">if the IAB-DU and IAB-MT </w:t>
      </w:r>
      <w:r w:rsidRPr="00521A4E">
        <w:rPr>
          <w:rFonts w:cs="Arial"/>
          <w:szCs w:val="20"/>
        </w:rPr>
        <w:t>use separate transceiver chains, including separate FFTs</w:t>
      </w:r>
      <w:r w:rsidR="000B07E4" w:rsidRPr="00521A4E">
        <w:rPr>
          <w:rFonts w:cs="Arial"/>
          <w:szCs w:val="20"/>
        </w:rPr>
        <w:t xml:space="preserve"> and timing</w:t>
      </w:r>
      <w:r w:rsidRPr="00521A4E">
        <w:rPr>
          <w:rFonts w:cs="Arial"/>
          <w:szCs w:val="20"/>
        </w:rPr>
        <w:t>, for which case leakage outside the IAB-MT or IAB-DU RB</w:t>
      </w:r>
      <w:r w:rsidR="00BE46A7" w:rsidRPr="00521A4E">
        <w:rPr>
          <w:rFonts w:cs="Arial"/>
          <w:szCs w:val="20"/>
        </w:rPr>
        <w:t>-</w:t>
      </w:r>
      <w:r w:rsidR="00E9437C" w:rsidRPr="00521A4E">
        <w:rPr>
          <w:rFonts w:cs="Arial"/>
          <w:szCs w:val="20"/>
        </w:rPr>
        <w:t>Set</w:t>
      </w:r>
      <w:r w:rsidRPr="00521A4E">
        <w:rPr>
          <w:rFonts w:cs="Arial"/>
          <w:szCs w:val="20"/>
        </w:rPr>
        <w:t>s cannot be excluded due to non-orthogonality between subcarriers. These issues should be considered when specifying frequency-domain H/S in terms of the usage of certain resources at the IAB-DU/MT and the impact on IAB-MT/DU.</w:t>
      </w:r>
    </w:p>
    <w:p w14:paraId="07E4A7B8" w14:textId="4F0BC263" w:rsidR="009A6063" w:rsidRPr="00521A4E" w:rsidRDefault="009A6063" w:rsidP="007E3B07">
      <w:pPr>
        <w:tabs>
          <w:tab w:val="left" w:pos="594"/>
        </w:tabs>
        <w:jc w:val="both"/>
        <w:rPr>
          <w:rFonts w:cs="Arial"/>
          <w:szCs w:val="20"/>
        </w:rPr>
      </w:pPr>
      <w:r w:rsidRPr="00521A4E">
        <w:rPr>
          <w:rFonts w:cs="Arial"/>
          <w:szCs w:val="20"/>
        </w:rPr>
        <w:t xml:space="preserve">To have a common understanding of frequency-domain resources, and in line with normal UE scheduling, the frequency-domain resources at the IAB-MT side are also divided into </w:t>
      </w:r>
      <w:r w:rsidR="00955D96" w:rsidRPr="00521A4E">
        <w:rPr>
          <w:rFonts w:cs="Arial"/>
          <w:szCs w:val="20"/>
        </w:rPr>
        <w:t xml:space="preserve">sets of RBs, </w:t>
      </w:r>
      <w:r w:rsidR="004074D7" w:rsidRPr="00521A4E">
        <w:rPr>
          <w:rFonts w:cs="Arial"/>
          <w:szCs w:val="20"/>
        </w:rPr>
        <w:t xml:space="preserve">in </w:t>
      </w:r>
      <w:r w:rsidR="00955D96" w:rsidRPr="00521A4E">
        <w:rPr>
          <w:rFonts w:cs="Arial"/>
          <w:szCs w:val="20"/>
        </w:rPr>
        <w:t xml:space="preserve">multiples of </w:t>
      </w:r>
      <w:r w:rsidR="004074D7" w:rsidRPr="00521A4E">
        <w:rPr>
          <w:rFonts w:cs="Arial"/>
          <w:szCs w:val="20"/>
        </w:rPr>
        <w:t>an</w:t>
      </w:r>
      <w:r w:rsidR="00955D96" w:rsidRPr="00521A4E">
        <w:rPr>
          <w:rFonts w:cs="Arial"/>
          <w:szCs w:val="20"/>
        </w:rPr>
        <w:t xml:space="preserve"> RBG, </w:t>
      </w:r>
      <w:r w:rsidRPr="00521A4E">
        <w:rPr>
          <w:rFonts w:cs="Arial"/>
          <w:szCs w:val="20"/>
        </w:rPr>
        <w:t xml:space="preserve">the same way as </w:t>
      </w:r>
      <w:r w:rsidR="004074D7" w:rsidRPr="00521A4E">
        <w:rPr>
          <w:rFonts w:cs="Arial"/>
          <w:szCs w:val="20"/>
        </w:rPr>
        <w:t xml:space="preserve">for the </w:t>
      </w:r>
      <w:r w:rsidRPr="00521A4E">
        <w:rPr>
          <w:rFonts w:cs="Arial"/>
          <w:szCs w:val="20"/>
        </w:rPr>
        <w:t>IAB-DU. To minimize signaling, we propose that any guard band is managed by the IAB-DU and hence contained within the Hard or Soft-IA resource:</w:t>
      </w:r>
    </w:p>
    <w:p w14:paraId="6A02E747" w14:textId="24A1A4D2" w:rsidR="009A6063" w:rsidRPr="00521A4E" w:rsidRDefault="009A6063" w:rsidP="007E3B07">
      <w:pPr>
        <w:pStyle w:val="ListParagraph"/>
        <w:numPr>
          <w:ilvl w:val="0"/>
          <w:numId w:val="14"/>
        </w:numPr>
        <w:tabs>
          <w:tab w:val="left" w:pos="594"/>
        </w:tabs>
        <w:spacing w:after="160"/>
        <w:contextualSpacing/>
        <w:jc w:val="both"/>
        <w:rPr>
          <w:rFonts w:ascii="Arial" w:hAnsi="Arial" w:cs="Arial"/>
          <w:sz w:val="20"/>
          <w:szCs w:val="20"/>
          <w:lang w:val="en-US"/>
        </w:rPr>
      </w:pPr>
      <w:r w:rsidRPr="00521A4E">
        <w:rPr>
          <w:rFonts w:ascii="Arial" w:hAnsi="Arial" w:cs="Arial"/>
          <w:b/>
          <w:sz w:val="20"/>
          <w:szCs w:val="20"/>
          <w:lang w:val="en-US"/>
        </w:rPr>
        <w:t>For frequency-domain Hard resource:</w:t>
      </w:r>
      <w:r w:rsidRPr="00521A4E">
        <w:rPr>
          <w:rFonts w:ascii="Arial" w:hAnsi="Arial" w:cs="Arial"/>
          <w:sz w:val="20"/>
          <w:szCs w:val="20"/>
          <w:lang w:val="en-US"/>
        </w:rPr>
        <w:t xml:space="preserve"> the IAB-DU can use the resource irrespective of the impact on the MT’s ability to transmit or receive in </w:t>
      </w:r>
      <w:r w:rsidRPr="00521A4E">
        <w:rPr>
          <w:rFonts w:ascii="Arial" w:hAnsi="Arial" w:cs="Arial"/>
          <w:i/>
          <w:sz w:val="20"/>
          <w:szCs w:val="20"/>
          <w:lang w:val="en-US"/>
        </w:rPr>
        <w:t>the corresponding resource</w:t>
      </w:r>
      <w:r w:rsidRPr="00521A4E">
        <w:rPr>
          <w:rFonts w:ascii="Arial" w:hAnsi="Arial" w:cs="Arial"/>
          <w:sz w:val="20"/>
          <w:szCs w:val="20"/>
          <w:lang w:val="en-US"/>
        </w:rPr>
        <w:t xml:space="preserve"> (i.e., the same RB</w:t>
      </w:r>
      <w:r w:rsidR="00BE46A7" w:rsidRPr="00521A4E">
        <w:rPr>
          <w:rFonts w:ascii="Arial" w:hAnsi="Arial" w:cs="Arial"/>
          <w:sz w:val="20"/>
          <w:szCs w:val="20"/>
          <w:lang w:val="en-US"/>
        </w:rPr>
        <w:t>-</w:t>
      </w:r>
      <w:r w:rsidR="00E9437C" w:rsidRPr="00521A4E">
        <w:rPr>
          <w:rFonts w:ascii="Arial" w:hAnsi="Arial" w:cs="Arial"/>
          <w:sz w:val="20"/>
          <w:szCs w:val="20"/>
          <w:lang w:val="en-US"/>
        </w:rPr>
        <w:t>Set</w:t>
      </w:r>
      <w:r w:rsidRPr="00521A4E">
        <w:rPr>
          <w:rFonts w:ascii="Arial" w:hAnsi="Arial" w:cs="Arial"/>
          <w:sz w:val="20"/>
          <w:szCs w:val="20"/>
          <w:lang w:val="en-US"/>
        </w:rPr>
        <w:t>), provided it does not impact the MT’s ability to transmit and receive in any other resource (i.e., other RB</w:t>
      </w:r>
      <w:r w:rsidR="00BE46A7" w:rsidRPr="00521A4E">
        <w:rPr>
          <w:rFonts w:ascii="Arial" w:hAnsi="Arial" w:cs="Arial"/>
          <w:sz w:val="20"/>
          <w:szCs w:val="20"/>
          <w:lang w:val="en-US"/>
        </w:rPr>
        <w:t>-</w:t>
      </w:r>
      <w:r w:rsidR="00E9437C" w:rsidRPr="00521A4E">
        <w:rPr>
          <w:rFonts w:ascii="Arial" w:hAnsi="Arial" w:cs="Arial"/>
          <w:sz w:val="20"/>
          <w:szCs w:val="20"/>
          <w:lang w:val="en-US"/>
        </w:rPr>
        <w:t>Set</w:t>
      </w:r>
      <w:r w:rsidRPr="00521A4E">
        <w:rPr>
          <w:rFonts w:ascii="Arial" w:hAnsi="Arial" w:cs="Arial"/>
          <w:sz w:val="20"/>
          <w:szCs w:val="20"/>
          <w:lang w:val="en-US"/>
        </w:rPr>
        <w:t>s).</w:t>
      </w:r>
    </w:p>
    <w:p w14:paraId="0C6F79CB" w14:textId="7F811DC2" w:rsidR="009A6063" w:rsidRPr="00521A4E" w:rsidRDefault="009A6063" w:rsidP="007E3B07">
      <w:pPr>
        <w:pStyle w:val="ListParagraph"/>
        <w:numPr>
          <w:ilvl w:val="0"/>
          <w:numId w:val="14"/>
        </w:numPr>
        <w:tabs>
          <w:tab w:val="left" w:pos="594"/>
        </w:tabs>
        <w:spacing w:after="160"/>
        <w:contextualSpacing/>
        <w:jc w:val="both"/>
        <w:rPr>
          <w:rFonts w:ascii="Arial" w:hAnsi="Arial" w:cs="Arial"/>
          <w:sz w:val="20"/>
          <w:szCs w:val="20"/>
          <w:lang w:val="en-US"/>
        </w:rPr>
      </w:pPr>
      <w:r w:rsidRPr="00521A4E">
        <w:rPr>
          <w:rFonts w:ascii="Arial" w:hAnsi="Arial" w:cs="Arial"/>
          <w:b/>
          <w:sz w:val="20"/>
          <w:szCs w:val="20"/>
          <w:lang w:val="en-US"/>
        </w:rPr>
        <w:t>For frequency-domain Soft resource:</w:t>
      </w:r>
      <w:r w:rsidRPr="00521A4E">
        <w:rPr>
          <w:rFonts w:ascii="Arial" w:hAnsi="Arial" w:cs="Arial"/>
          <w:sz w:val="20"/>
          <w:szCs w:val="20"/>
          <w:lang w:val="en-US"/>
        </w:rPr>
        <w:t xml:space="preserve"> the IAB-DU can use the resource only if it does not impact the MT’s actual ability to transmit and receive in </w:t>
      </w:r>
      <w:r w:rsidRPr="00521A4E">
        <w:rPr>
          <w:rFonts w:ascii="Arial" w:hAnsi="Arial" w:cs="Arial"/>
          <w:i/>
          <w:sz w:val="20"/>
          <w:szCs w:val="20"/>
          <w:lang w:val="en-US"/>
        </w:rPr>
        <w:t>any resource</w:t>
      </w:r>
      <w:r w:rsidRPr="00521A4E">
        <w:rPr>
          <w:rFonts w:ascii="Arial" w:hAnsi="Arial" w:cs="Arial"/>
          <w:sz w:val="20"/>
          <w:szCs w:val="20"/>
          <w:lang w:val="en-US"/>
        </w:rPr>
        <w:t xml:space="preserve"> (i.e., both the same RB</w:t>
      </w:r>
      <w:r w:rsidR="00BE46A7" w:rsidRPr="00521A4E">
        <w:rPr>
          <w:rFonts w:ascii="Arial" w:hAnsi="Arial" w:cs="Arial"/>
          <w:sz w:val="20"/>
          <w:szCs w:val="20"/>
          <w:lang w:val="en-US"/>
        </w:rPr>
        <w:t>-</w:t>
      </w:r>
      <w:r w:rsidR="00E9437C" w:rsidRPr="00521A4E">
        <w:rPr>
          <w:rFonts w:ascii="Arial" w:hAnsi="Arial" w:cs="Arial"/>
          <w:sz w:val="20"/>
          <w:szCs w:val="20"/>
          <w:lang w:val="en-US"/>
        </w:rPr>
        <w:t>Set</w:t>
      </w:r>
      <w:r w:rsidRPr="00521A4E">
        <w:rPr>
          <w:rFonts w:ascii="Arial" w:hAnsi="Arial" w:cs="Arial"/>
          <w:sz w:val="20"/>
          <w:szCs w:val="20"/>
          <w:lang w:val="en-US"/>
        </w:rPr>
        <w:t xml:space="preserve"> and other RB</w:t>
      </w:r>
      <w:r w:rsidR="00BE46A7" w:rsidRPr="00521A4E">
        <w:rPr>
          <w:rFonts w:ascii="Arial" w:hAnsi="Arial" w:cs="Arial"/>
          <w:sz w:val="20"/>
          <w:szCs w:val="20"/>
          <w:lang w:val="en-US"/>
        </w:rPr>
        <w:t>-</w:t>
      </w:r>
      <w:r w:rsidR="00E9437C" w:rsidRPr="00521A4E">
        <w:rPr>
          <w:rFonts w:ascii="Arial" w:hAnsi="Arial" w:cs="Arial"/>
          <w:sz w:val="20"/>
          <w:szCs w:val="20"/>
          <w:lang w:val="en-US"/>
        </w:rPr>
        <w:t>Set</w:t>
      </w:r>
      <w:r w:rsidRPr="00521A4E">
        <w:rPr>
          <w:rFonts w:ascii="Arial" w:hAnsi="Arial" w:cs="Arial"/>
          <w:sz w:val="20"/>
          <w:szCs w:val="20"/>
          <w:lang w:val="en-US"/>
        </w:rPr>
        <w:t>s).</w:t>
      </w:r>
    </w:p>
    <w:p w14:paraId="2BA022E9" w14:textId="432C6372" w:rsidR="009A6063" w:rsidRPr="00521A4E" w:rsidRDefault="009A6063" w:rsidP="007E3B07">
      <w:pPr>
        <w:pStyle w:val="ListParagraph"/>
        <w:numPr>
          <w:ilvl w:val="0"/>
          <w:numId w:val="14"/>
        </w:numPr>
        <w:tabs>
          <w:tab w:val="left" w:pos="594"/>
        </w:tabs>
        <w:spacing w:after="160"/>
        <w:contextualSpacing/>
        <w:jc w:val="both"/>
        <w:rPr>
          <w:rFonts w:ascii="Arial" w:hAnsi="Arial" w:cs="Arial"/>
          <w:sz w:val="20"/>
          <w:szCs w:val="20"/>
          <w:lang w:val="en-US"/>
        </w:rPr>
      </w:pPr>
      <w:r w:rsidRPr="00521A4E">
        <w:rPr>
          <w:rFonts w:ascii="Arial" w:hAnsi="Arial" w:cs="Arial"/>
          <w:b/>
          <w:sz w:val="20"/>
          <w:szCs w:val="20"/>
          <w:lang w:val="en-US"/>
        </w:rPr>
        <w:t>For frequency-domain NA resource:</w:t>
      </w:r>
      <w:r w:rsidRPr="00521A4E">
        <w:rPr>
          <w:rFonts w:ascii="Arial" w:hAnsi="Arial" w:cs="Arial"/>
          <w:sz w:val="20"/>
          <w:szCs w:val="20"/>
          <w:lang w:val="en-US"/>
        </w:rPr>
        <w:t xml:space="preserve"> the IAB-DU cannot use the resource. </w:t>
      </w:r>
    </w:p>
    <w:p w14:paraId="28637016" w14:textId="18E72AA1" w:rsidR="009A6063" w:rsidRPr="00521A4E" w:rsidRDefault="009A6063" w:rsidP="007E3B07">
      <w:pPr>
        <w:tabs>
          <w:tab w:val="left" w:pos="594"/>
        </w:tabs>
        <w:jc w:val="both"/>
        <w:rPr>
          <w:rFonts w:cs="Arial"/>
          <w:szCs w:val="20"/>
        </w:rPr>
      </w:pPr>
      <w:r w:rsidRPr="00521A4E">
        <w:rPr>
          <w:rFonts w:cs="Arial"/>
          <w:szCs w:val="20"/>
        </w:rPr>
        <w:t xml:space="preserve">Basically, the definition of Soft and NA resources in TS 38.213 </w:t>
      </w:r>
      <w:r w:rsidRPr="00521A4E">
        <w:rPr>
          <w:rFonts w:cs="Arial"/>
          <w:szCs w:val="20"/>
        </w:rPr>
        <w:fldChar w:fldCharType="begin"/>
      </w:r>
      <w:r w:rsidRPr="00521A4E">
        <w:rPr>
          <w:rFonts w:cs="Arial"/>
          <w:szCs w:val="20"/>
        </w:rPr>
        <w:instrText xml:space="preserve"> REF _Ref71662548 \r \h </w:instrText>
      </w:r>
      <w:r w:rsidR="006F3B67" w:rsidRPr="00521A4E">
        <w:rPr>
          <w:rFonts w:cs="Arial"/>
          <w:szCs w:val="20"/>
        </w:rPr>
        <w:instrText xml:space="preserve"> \* MERGEFORMAT </w:instrText>
      </w:r>
      <w:r w:rsidRPr="00521A4E">
        <w:rPr>
          <w:rFonts w:cs="Arial"/>
          <w:szCs w:val="20"/>
        </w:rPr>
      </w:r>
      <w:r w:rsidRPr="00521A4E">
        <w:rPr>
          <w:rFonts w:cs="Arial"/>
          <w:szCs w:val="20"/>
        </w:rPr>
        <w:fldChar w:fldCharType="separate"/>
      </w:r>
      <w:r w:rsidR="00F201E9">
        <w:rPr>
          <w:rFonts w:cs="Arial"/>
          <w:szCs w:val="20"/>
        </w:rPr>
        <w:t>[7]</w:t>
      </w:r>
      <w:r w:rsidRPr="00521A4E">
        <w:rPr>
          <w:rFonts w:cs="Arial"/>
          <w:szCs w:val="20"/>
        </w:rPr>
        <w:fldChar w:fldCharType="end"/>
      </w:r>
      <w:r w:rsidRPr="00521A4E">
        <w:rPr>
          <w:rFonts w:cs="Arial"/>
          <w:szCs w:val="20"/>
        </w:rPr>
        <w:t xml:space="preserve"> </w:t>
      </w:r>
      <w:r w:rsidR="006C370B" w:rsidRPr="00521A4E">
        <w:rPr>
          <w:rFonts w:cs="Arial"/>
          <w:szCs w:val="20"/>
        </w:rPr>
        <w:t>is</w:t>
      </w:r>
      <w:r w:rsidRPr="00521A4E">
        <w:rPr>
          <w:rFonts w:cs="Arial"/>
          <w:szCs w:val="20"/>
        </w:rPr>
        <w:t xml:space="preserve"> still eligible for frequency-domain Soft and NA resources. But further clarification on </w:t>
      </w:r>
      <w:r w:rsidR="006C370B" w:rsidRPr="00521A4E">
        <w:rPr>
          <w:rFonts w:cs="Arial"/>
          <w:szCs w:val="20"/>
        </w:rPr>
        <w:t xml:space="preserve">the </w:t>
      </w:r>
      <w:r w:rsidRPr="00521A4E">
        <w:rPr>
          <w:rFonts w:cs="Arial"/>
          <w:szCs w:val="20"/>
        </w:rPr>
        <w:t>Hard resource type is needed to also include the frequency-domain Hard resource.</w:t>
      </w:r>
      <w:bookmarkStart w:id="93" w:name="_Toc68520692"/>
      <w:bookmarkStart w:id="94" w:name="_Toc68520973"/>
      <w:bookmarkEnd w:id="93"/>
      <w:bookmarkEnd w:id="94"/>
      <w:r w:rsidR="00F16D75" w:rsidRPr="00521A4E">
        <w:rPr>
          <w:rFonts w:cs="Arial"/>
          <w:szCs w:val="20"/>
        </w:rPr>
        <w:t xml:space="preserve"> </w:t>
      </w:r>
      <w:r w:rsidRPr="00521A4E">
        <w:rPr>
          <w:rFonts w:cs="Arial"/>
          <w:szCs w:val="20"/>
        </w:rPr>
        <w:t>A</w:t>
      </w:r>
      <w:r w:rsidR="00304171" w:rsidRPr="00521A4E">
        <w:rPr>
          <w:rFonts w:cs="Arial"/>
          <w:szCs w:val="20"/>
        </w:rPr>
        <w:t>n</w:t>
      </w:r>
      <w:r w:rsidRPr="00521A4E">
        <w:rPr>
          <w:rFonts w:cs="Arial"/>
          <w:szCs w:val="20"/>
        </w:rPr>
        <w:t xml:space="preserve"> implication of the definition of frequency domain H/S/NA is illustrated in</w:t>
      </w:r>
      <w:r w:rsidR="00734F62" w:rsidRPr="00521A4E">
        <w:rPr>
          <w:rFonts w:cs="Arial"/>
          <w:szCs w:val="20"/>
        </w:rPr>
        <w:t xml:space="preserve"> </w:t>
      </w:r>
      <w:r w:rsidR="00734F62" w:rsidRPr="00521A4E">
        <w:rPr>
          <w:rFonts w:cs="Arial"/>
          <w:szCs w:val="20"/>
        </w:rPr>
        <w:fldChar w:fldCharType="begin"/>
      </w:r>
      <w:r w:rsidR="00734F62" w:rsidRPr="00521A4E">
        <w:rPr>
          <w:rFonts w:cs="Arial"/>
          <w:szCs w:val="20"/>
        </w:rPr>
        <w:instrText xml:space="preserve"> REF _Ref74242167 \h </w:instrText>
      </w:r>
      <w:r w:rsidR="006F3B67" w:rsidRPr="00521A4E">
        <w:rPr>
          <w:rFonts w:cs="Arial"/>
          <w:szCs w:val="20"/>
        </w:rPr>
        <w:instrText xml:space="preserve"> \* MERGEFORMAT </w:instrText>
      </w:r>
      <w:r w:rsidR="00734F62" w:rsidRPr="00521A4E">
        <w:rPr>
          <w:rFonts w:cs="Arial"/>
          <w:szCs w:val="20"/>
        </w:rPr>
      </w:r>
      <w:r w:rsidR="00734F62" w:rsidRPr="00521A4E">
        <w:rPr>
          <w:rFonts w:cs="Arial"/>
          <w:szCs w:val="20"/>
        </w:rPr>
        <w:fldChar w:fldCharType="separate"/>
      </w:r>
      <w:r w:rsidR="00F201E9" w:rsidRPr="00521A4E">
        <w:t xml:space="preserve">Figure </w:t>
      </w:r>
      <w:r w:rsidR="00F201E9">
        <w:rPr>
          <w:noProof/>
        </w:rPr>
        <w:t>3</w:t>
      </w:r>
      <w:r w:rsidR="00734F62" w:rsidRPr="00521A4E">
        <w:rPr>
          <w:rFonts w:cs="Arial"/>
          <w:szCs w:val="20"/>
        </w:rPr>
        <w:fldChar w:fldCharType="end"/>
      </w:r>
      <w:r w:rsidRPr="00521A4E">
        <w:rPr>
          <w:rFonts w:cs="Arial"/>
          <w:szCs w:val="20"/>
        </w:rPr>
        <w:t>. The blue shaded RB</w:t>
      </w:r>
      <w:r w:rsidR="00BE46A7" w:rsidRPr="00521A4E">
        <w:rPr>
          <w:rFonts w:cs="Arial"/>
          <w:szCs w:val="20"/>
        </w:rPr>
        <w:t>-</w:t>
      </w:r>
      <w:r w:rsidR="00E9437C" w:rsidRPr="00521A4E">
        <w:rPr>
          <w:rFonts w:cs="Arial"/>
          <w:szCs w:val="20"/>
        </w:rPr>
        <w:t>Set</w:t>
      </w:r>
      <w:r w:rsidRPr="00521A4E">
        <w:rPr>
          <w:rFonts w:cs="Arial"/>
          <w:szCs w:val="20"/>
        </w:rPr>
        <w:t xml:space="preserve">s are the ones configured to be used either by IAB-MT or IAB-DU. If </w:t>
      </w:r>
      <w:r w:rsidR="00DD3EA7" w:rsidRPr="00521A4E">
        <w:rPr>
          <w:rFonts w:cs="Arial"/>
          <w:szCs w:val="20"/>
        </w:rPr>
        <w:t xml:space="preserve">the </w:t>
      </w:r>
      <w:r w:rsidRPr="00521A4E">
        <w:rPr>
          <w:rFonts w:cs="Arial"/>
          <w:szCs w:val="20"/>
        </w:rPr>
        <w:t>IAB-DU uses RB</w:t>
      </w:r>
      <w:r w:rsidR="00BE46A7" w:rsidRPr="00521A4E">
        <w:rPr>
          <w:rFonts w:cs="Arial"/>
          <w:szCs w:val="20"/>
        </w:rPr>
        <w:t>-</w:t>
      </w:r>
      <w:r w:rsidR="00E9437C" w:rsidRPr="00521A4E">
        <w:rPr>
          <w:rFonts w:cs="Arial"/>
          <w:szCs w:val="20"/>
        </w:rPr>
        <w:t>Set</w:t>
      </w:r>
      <w:r w:rsidRPr="00521A4E">
        <w:rPr>
          <w:rFonts w:cs="Arial"/>
          <w:szCs w:val="20"/>
        </w:rPr>
        <w:t xml:space="preserve">2 and </w:t>
      </w:r>
      <w:r w:rsidR="00DD3EA7" w:rsidRPr="00521A4E">
        <w:rPr>
          <w:rFonts w:cs="Arial"/>
          <w:szCs w:val="20"/>
        </w:rPr>
        <w:t xml:space="preserve">the </w:t>
      </w:r>
      <w:r w:rsidRPr="00521A4E">
        <w:rPr>
          <w:rFonts w:cs="Arial"/>
          <w:szCs w:val="20"/>
        </w:rPr>
        <w:t>IAB-MT uses RB</w:t>
      </w:r>
      <w:r w:rsidR="00BE46A7" w:rsidRPr="00521A4E">
        <w:rPr>
          <w:rFonts w:cs="Arial"/>
          <w:szCs w:val="20"/>
        </w:rPr>
        <w:t>-</w:t>
      </w:r>
      <w:r w:rsidR="00E9437C" w:rsidRPr="00521A4E">
        <w:rPr>
          <w:rFonts w:cs="Arial"/>
          <w:szCs w:val="20"/>
        </w:rPr>
        <w:t>Set</w:t>
      </w:r>
      <w:r w:rsidRPr="00521A4E">
        <w:rPr>
          <w:rFonts w:cs="Arial"/>
          <w:szCs w:val="20"/>
        </w:rPr>
        <w:t xml:space="preserve">3 simultaneously, they may interfere with each other. Hence, </w:t>
      </w:r>
      <w:r w:rsidR="005A1C1D" w:rsidRPr="00521A4E">
        <w:rPr>
          <w:rFonts w:cs="Arial"/>
          <w:szCs w:val="20"/>
        </w:rPr>
        <w:t>in the right figure</w:t>
      </w:r>
      <w:r w:rsidRPr="00521A4E">
        <w:rPr>
          <w:rFonts w:cs="Arial"/>
          <w:szCs w:val="20"/>
        </w:rPr>
        <w:t>, the IAB-DU reserves multiple subcarriers at the upper edge of RB</w:t>
      </w:r>
      <w:r w:rsidR="00BE46A7" w:rsidRPr="00521A4E">
        <w:rPr>
          <w:rFonts w:cs="Arial"/>
          <w:szCs w:val="20"/>
        </w:rPr>
        <w:t>-</w:t>
      </w:r>
      <w:r w:rsidR="00E9437C" w:rsidRPr="00521A4E">
        <w:rPr>
          <w:rFonts w:cs="Arial"/>
          <w:szCs w:val="20"/>
        </w:rPr>
        <w:t>Set</w:t>
      </w:r>
      <w:r w:rsidRPr="00521A4E">
        <w:rPr>
          <w:rFonts w:cs="Arial"/>
          <w:szCs w:val="20"/>
        </w:rPr>
        <w:t>2 to avoid such interference.</w:t>
      </w:r>
    </w:p>
    <w:p w14:paraId="09CFD217" w14:textId="53563062" w:rsidR="009A6063" w:rsidRPr="00521A4E" w:rsidRDefault="009A6063" w:rsidP="007E3B07">
      <w:pPr>
        <w:tabs>
          <w:tab w:val="left" w:pos="594"/>
        </w:tabs>
        <w:jc w:val="both"/>
        <w:rPr>
          <w:rFonts w:cs="Arial"/>
          <w:szCs w:val="20"/>
        </w:rPr>
      </w:pPr>
      <w:r w:rsidRPr="00521A4E">
        <w:rPr>
          <w:rFonts w:cs="Arial"/>
          <w:szCs w:val="20"/>
        </w:rPr>
        <w:t xml:space="preserve">Guard bands/subcarriers </w:t>
      </w:r>
      <w:r w:rsidRPr="00521A4E">
        <w:rPr>
          <w:rFonts w:cs="Arial"/>
          <w:i/>
          <w:szCs w:val="20"/>
        </w:rPr>
        <w:t>may</w:t>
      </w:r>
      <w:r w:rsidRPr="00521A4E">
        <w:rPr>
          <w:rFonts w:cs="Arial"/>
          <w:szCs w:val="20"/>
        </w:rPr>
        <w:t xml:space="preserve"> be needed for IAB-nodes with separate MT and DU front ends or if IAB-</w:t>
      </w:r>
      <w:r w:rsidR="00B15343" w:rsidRPr="00521A4E">
        <w:rPr>
          <w:rFonts w:cs="Arial"/>
          <w:szCs w:val="20"/>
        </w:rPr>
        <w:t>DU</w:t>
      </w:r>
      <w:r w:rsidRPr="00521A4E">
        <w:rPr>
          <w:rFonts w:cs="Arial"/>
          <w:szCs w:val="20"/>
        </w:rPr>
        <w:t xml:space="preserve"> power control is introduced such that the IAB-MT is affected negatively by leakage from IAB-DU associated transmit signals, but even for such architectures or some configuration that may not necessarily be the case. Even if guard bands are needed, a properly configured network would only require one such band</w:t>
      </w:r>
      <w:r w:rsidR="005A0CC3" w:rsidRPr="00521A4E">
        <w:rPr>
          <w:rFonts w:cs="Arial"/>
          <w:szCs w:val="20"/>
        </w:rPr>
        <w:t xml:space="preserve"> by properly grouping Hard and Soft resources</w:t>
      </w:r>
      <w:r w:rsidRPr="00521A4E">
        <w:rPr>
          <w:rFonts w:cs="Arial"/>
          <w:szCs w:val="20"/>
        </w:rPr>
        <w:t>, significantly reducing overhead. In large BW carriers, the loss from introducing such a guard band is negligible.</w:t>
      </w:r>
    </w:p>
    <w:p w14:paraId="537EDE44" w14:textId="7F1E621F" w:rsidR="00734F62" w:rsidRPr="00521A4E" w:rsidRDefault="00182573" w:rsidP="008B71F6">
      <w:pPr>
        <w:keepNext/>
        <w:tabs>
          <w:tab w:val="left" w:pos="594"/>
        </w:tabs>
        <w:jc w:val="center"/>
      </w:pPr>
      <w:r w:rsidRPr="00521A4E">
        <w:rPr>
          <w:noProof/>
        </w:rPr>
        <w:lastRenderedPageBreak/>
        <w:drawing>
          <wp:inline distT="0" distB="0" distL="0" distR="0" wp14:anchorId="6E66E9EF" wp14:editId="3BB5CF97">
            <wp:extent cx="5575300" cy="2306702"/>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5585470" cy="2310910"/>
                    </a:xfrm>
                    <a:prstGeom prst="rect">
                      <a:avLst/>
                    </a:prstGeom>
                  </pic:spPr>
                </pic:pic>
              </a:graphicData>
            </a:graphic>
          </wp:inline>
        </w:drawing>
      </w:r>
    </w:p>
    <w:p w14:paraId="04BB6485" w14:textId="15969A24" w:rsidR="009A6063" w:rsidRPr="00521A4E" w:rsidRDefault="00734F62" w:rsidP="007E3B07">
      <w:pPr>
        <w:pStyle w:val="Caption"/>
        <w:jc w:val="both"/>
      </w:pPr>
      <w:bookmarkStart w:id="95" w:name="_Ref74242167"/>
      <w:r w:rsidRPr="00521A4E">
        <w:t xml:space="preserve">Figure </w:t>
      </w:r>
      <w:r w:rsidRPr="00521A4E">
        <w:fldChar w:fldCharType="begin"/>
      </w:r>
      <w:r w:rsidRPr="00521A4E">
        <w:instrText xml:space="preserve"> SEQ Figure \* ARABIC </w:instrText>
      </w:r>
      <w:r w:rsidRPr="00521A4E">
        <w:fldChar w:fldCharType="separate"/>
      </w:r>
      <w:r w:rsidR="00F201E9">
        <w:rPr>
          <w:noProof/>
        </w:rPr>
        <w:t>3</w:t>
      </w:r>
      <w:r w:rsidRPr="00521A4E">
        <w:fldChar w:fldCharType="end"/>
      </w:r>
      <w:bookmarkEnd w:id="95"/>
      <w:r w:rsidRPr="00521A4E">
        <w:t>: Illustration of resource usage of frequency-domain H/S/NA.</w:t>
      </w:r>
      <w:r w:rsidR="008514FE" w:rsidRPr="00521A4E">
        <w:t xml:space="preserve"> </w:t>
      </w:r>
      <w:r w:rsidR="008514FE" w:rsidRPr="00521A4E">
        <w:rPr>
          <w:rFonts w:cs="Arial"/>
          <w:szCs w:val="20"/>
        </w:rPr>
        <w:t>The blue shaded RB-Sets are the ones configured to be used</w:t>
      </w:r>
      <w:r w:rsidR="005A1C1D" w:rsidRPr="00521A4E">
        <w:rPr>
          <w:rFonts w:cs="Arial"/>
          <w:szCs w:val="20"/>
        </w:rPr>
        <w:t>,</w:t>
      </w:r>
      <w:r w:rsidR="008514FE" w:rsidRPr="00521A4E">
        <w:rPr>
          <w:rFonts w:cs="Arial"/>
          <w:szCs w:val="20"/>
        </w:rPr>
        <w:t xml:space="preserve"> either by </w:t>
      </w:r>
      <w:r w:rsidR="005A1C1D" w:rsidRPr="00521A4E">
        <w:rPr>
          <w:rFonts w:cs="Arial"/>
          <w:szCs w:val="20"/>
        </w:rPr>
        <w:t xml:space="preserve">the </w:t>
      </w:r>
      <w:r w:rsidR="008514FE" w:rsidRPr="00521A4E">
        <w:rPr>
          <w:rFonts w:cs="Arial"/>
          <w:szCs w:val="20"/>
        </w:rPr>
        <w:t xml:space="preserve">IAB-MT or </w:t>
      </w:r>
      <w:r w:rsidR="005A1C1D" w:rsidRPr="00521A4E">
        <w:rPr>
          <w:rFonts w:cs="Arial"/>
          <w:szCs w:val="20"/>
        </w:rPr>
        <w:t xml:space="preserve">the </w:t>
      </w:r>
      <w:r w:rsidR="008514FE" w:rsidRPr="00521A4E">
        <w:rPr>
          <w:rFonts w:cs="Arial"/>
          <w:szCs w:val="20"/>
        </w:rPr>
        <w:t>IAB-DU</w:t>
      </w:r>
      <w:r w:rsidR="00E72E7F" w:rsidRPr="00521A4E">
        <w:rPr>
          <w:rFonts w:cs="Arial"/>
          <w:szCs w:val="20"/>
        </w:rPr>
        <w:t>.</w:t>
      </w:r>
    </w:p>
    <w:p w14:paraId="7BF2269E" w14:textId="788B237A" w:rsidR="009A6063" w:rsidRPr="00521A4E" w:rsidRDefault="009A6063" w:rsidP="007E3B07">
      <w:pPr>
        <w:jc w:val="both"/>
        <w:rPr>
          <w:rFonts w:cs="Arial"/>
          <w:szCs w:val="20"/>
          <w:lang w:eastAsia="en-GB"/>
        </w:rPr>
      </w:pPr>
      <w:r w:rsidRPr="00521A4E">
        <w:rPr>
          <w:rFonts w:cs="Arial"/>
          <w:szCs w:val="20"/>
          <w:lang w:eastAsia="en-GB"/>
        </w:rPr>
        <w:t>A further rationale for allocating the guard band within Hard or S-IA resources is that the control of the guard band is entirely contained within the IAB-node itself. Considering that the guard band may be dynamic, e.g., due to changes in relative IAB-MT and IAB-DU transmit power levels</w:t>
      </w:r>
      <w:r w:rsidR="00E72E7F" w:rsidRPr="00521A4E">
        <w:rPr>
          <w:rFonts w:cs="Arial"/>
          <w:szCs w:val="20"/>
          <w:lang w:eastAsia="en-GB"/>
        </w:rPr>
        <w:t>,</w:t>
      </w:r>
      <w:r w:rsidRPr="00521A4E">
        <w:rPr>
          <w:rFonts w:cs="Arial"/>
          <w:szCs w:val="20"/>
          <w:lang w:eastAsia="en-GB"/>
        </w:rPr>
        <w:t xml:space="preserve"> other solutions would likely imply substantial and unnecessary signaling overhead.</w:t>
      </w:r>
    </w:p>
    <w:p w14:paraId="3B147213" w14:textId="6AE951B6" w:rsidR="004E0FF7" w:rsidRPr="00521A4E" w:rsidRDefault="00BB07CB" w:rsidP="007E3B07">
      <w:pPr>
        <w:pStyle w:val="Observation"/>
      </w:pPr>
      <w:bookmarkStart w:id="96" w:name="_Toc71663377"/>
      <w:bookmarkStart w:id="97" w:name="_Toc87042227"/>
      <w:r w:rsidRPr="00521A4E">
        <w:t xml:space="preserve">By introducing both DL and UL power control, the </w:t>
      </w:r>
      <w:r w:rsidR="00997F92" w:rsidRPr="00521A4E">
        <w:rPr>
          <w:rFonts w:cs="Arial"/>
          <w:szCs w:val="20"/>
        </w:rPr>
        <w:t>leakage (in analogy to ACLR) between resources used by IAB-MT and IAB-DU</w:t>
      </w:r>
      <w:r w:rsidR="00997F92" w:rsidRPr="00521A4E">
        <w:t xml:space="preserve"> </w:t>
      </w:r>
      <w:r w:rsidRPr="00521A4E">
        <w:t xml:space="preserve">is variable and </w:t>
      </w:r>
      <w:r w:rsidR="003341FB" w:rsidRPr="00521A4E">
        <w:t>may hence</w:t>
      </w:r>
      <w:r w:rsidRPr="00521A4E">
        <w:t xml:space="preserve"> </w:t>
      </w:r>
      <w:r w:rsidR="003341FB" w:rsidRPr="00521A4E">
        <w:t>require</w:t>
      </w:r>
      <w:r w:rsidRPr="00521A4E">
        <w:t xml:space="preserve"> </w:t>
      </w:r>
      <w:r w:rsidR="00F5366E" w:rsidRPr="00521A4E">
        <w:t xml:space="preserve">extensive </w:t>
      </w:r>
      <w:r w:rsidR="003341FB" w:rsidRPr="00521A4E">
        <w:t>dynamic</w:t>
      </w:r>
      <w:r w:rsidRPr="00521A4E">
        <w:t xml:space="preserve"> signaling</w:t>
      </w:r>
      <w:r w:rsidR="003341FB" w:rsidRPr="00521A4E">
        <w:t xml:space="preserve"> unless handled </w:t>
      </w:r>
      <w:bookmarkStart w:id="98" w:name="_Hlk82676616"/>
      <w:r w:rsidR="003341FB" w:rsidRPr="00521A4E">
        <w:t>internally in the IAB-DU</w:t>
      </w:r>
      <w:r w:rsidRPr="00521A4E">
        <w:t>.</w:t>
      </w:r>
      <w:bookmarkEnd w:id="96"/>
      <w:bookmarkEnd w:id="97"/>
    </w:p>
    <w:p w14:paraId="2B3FB4B6" w14:textId="5C72E373" w:rsidR="00CA2278" w:rsidRPr="00521A4E" w:rsidRDefault="00CA2278" w:rsidP="00F364B7">
      <w:pPr>
        <w:pStyle w:val="Proposal"/>
        <w:tabs>
          <w:tab w:val="clear" w:pos="1872"/>
        </w:tabs>
        <w:ind w:left="1304"/>
        <w:rPr>
          <w:lang w:eastAsia="ja-JP"/>
        </w:rPr>
      </w:pPr>
      <w:bookmarkStart w:id="99" w:name="_Toc58832841"/>
      <w:bookmarkStart w:id="100" w:name="_Toc61903476"/>
      <w:bookmarkStart w:id="101" w:name="_Toc71663388"/>
      <w:bookmarkStart w:id="102" w:name="_Toc87042234"/>
      <w:r w:rsidRPr="00F364B7">
        <w:rPr>
          <w:lang w:eastAsia="ja-JP"/>
        </w:rPr>
        <w:t xml:space="preserve">If a resource is configured as Hard, or explicitly indicated as Soft-IA the IAB-DU can transmit, receive, or either transmit or receive according to its configuration only if it does not impact the IAB-MT’s actual ability to operate in any other resource that is either configured Not Available, or configured Soft and not </w:t>
      </w:r>
      <w:r w:rsidR="003C0F27" w:rsidRPr="00521A4E">
        <w:rPr>
          <w:lang w:eastAsia="ja-JP"/>
        </w:rPr>
        <w:t xml:space="preserve">explicitly </w:t>
      </w:r>
      <w:r w:rsidRPr="00521A4E">
        <w:rPr>
          <w:lang w:eastAsia="ja-JP"/>
        </w:rPr>
        <w:t>indicated available.</w:t>
      </w:r>
      <w:bookmarkEnd w:id="102"/>
    </w:p>
    <w:p w14:paraId="271A20E9" w14:textId="7158500D" w:rsidR="002F6C90" w:rsidRPr="00521A4E" w:rsidRDefault="00893903" w:rsidP="00F364B7">
      <w:pPr>
        <w:pStyle w:val="Proposal"/>
        <w:tabs>
          <w:tab w:val="clear" w:pos="1872"/>
        </w:tabs>
        <w:ind w:left="1304"/>
      </w:pPr>
      <w:bookmarkStart w:id="103" w:name="_Toc87042235"/>
      <w:bookmarkEnd w:id="99"/>
      <w:bookmarkEnd w:id="100"/>
      <w:bookmarkEnd w:id="101"/>
      <w:bookmarkEnd w:id="98"/>
      <w:r w:rsidRPr="00521A4E">
        <w:rPr>
          <w:lang w:eastAsia="ja-JP"/>
        </w:rPr>
        <w:t>If a resource is configured as Soft</w:t>
      </w:r>
      <w:r w:rsidR="00E50715" w:rsidRPr="00521A4E">
        <w:rPr>
          <w:lang w:eastAsia="ja-JP"/>
        </w:rPr>
        <w:t xml:space="preserve"> (including implicitly indicated available)</w:t>
      </w:r>
      <w:r w:rsidRPr="00521A4E">
        <w:rPr>
          <w:lang w:eastAsia="ja-JP"/>
        </w:rPr>
        <w:t xml:space="preserve">, the IAB-DU can transmit, receive, or either transmit or receive only if it does not impact the IAB-MT’s actual ability to operate in any resource, </w:t>
      </w:r>
      <w:r w:rsidR="004E1F90" w:rsidRPr="00521A4E">
        <w:rPr>
          <w:lang w:eastAsia="ja-JP"/>
        </w:rPr>
        <w:t xml:space="preserve">either configured Not Available, or configured Soft and not </w:t>
      </w:r>
      <w:r w:rsidR="000849F0" w:rsidRPr="00521A4E">
        <w:rPr>
          <w:lang w:eastAsia="ja-JP"/>
        </w:rPr>
        <w:t xml:space="preserve">explicitly </w:t>
      </w:r>
      <w:r w:rsidR="004E1F90" w:rsidRPr="00521A4E">
        <w:rPr>
          <w:lang w:eastAsia="ja-JP"/>
        </w:rPr>
        <w:t>indicated available</w:t>
      </w:r>
      <w:r w:rsidRPr="00521A4E">
        <w:rPr>
          <w:lang w:eastAsia="ja-JP"/>
        </w:rPr>
        <w:t>.</w:t>
      </w:r>
      <w:bookmarkEnd w:id="103"/>
    </w:p>
    <w:p w14:paraId="4864F7DD" w14:textId="4E84E2BA" w:rsidR="002F6C90" w:rsidRPr="00521A4E" w:rsidRDefault="002F6C90" w:rsidP="007E3B07">
      <w:pPr>
        <w:jc w:val="both"/>
      </w:pPr>
      <w:r w:rsidRPr="00521A4E">
        <w:t xml:space="preserve">Similar as in Rel-16 IAB, in order for the parent node to provide explicit availability indication </w:t>
      </w:r>
      <w:r w:rsidR="00830A76" w:rsidRPr="00521A4E">
        <w:t>to</w:t>
      </w:r>
      <w:r w:rsidRPr="00521A4E">
        <w:t xml:space="preserve"> frequency domain soft resource, the parent node should be made aware of the frequency domain resource configuration of the IAB-DU cells, including the RB set configurations</w:t>
      </w:r>
      <w:r w:rsidR="00CA2278" w:rsidRPr="00521A4E">
        <w:t xml:space="preserve"> (RB set size)</w:t>
      </w:r>
      <w:r w:rsidRPr="00521A4E">
        <w:t>.</w:t>
      </w:r>
    </w:p>
    <w:p w14:paraId="6485BF8F" w14:textId="5AFAE431" w:rsidR="002F6C90" w:rsidRPr="00521A4E" w:rsidRDefault="002F6C90" w:rsidP="00F364B7">
      <w:pPr>
        <w:pStyle w:val="Proposal"/>
        <w:tabs>
          <w:tab w:val="clear" w:pos="1872"/>
        </w:tabs>
        <w:ind w:left="1304"/>
        <w:rPr>
          <w:lang w:eastAsia="ja-JP"/>
        </w:rPr>
      </w:pPr>
      <w:bookmarkStart w:id="104" w:name="_Toc87042236"/>
      <w:r w:rsidRPr="00521A4E">
        <w:rPr>
          <w:lang w:eastAsia="ja-JP"/>
        </w:rPr>
        <w:t xml:space="preserve">The parent node can be made aware of the </w:t>
      </w:r>
      <w:r w:rsidR="007E3BB9" w:rsidRPr="00521A4E">
        <w:rPr>
          <w:lang w:eastAsia="ja-JP"/>
        </w:rPr>
        <w:t>R</w:t>
      </w:r>
      <w:r w:rsidRPr="00521A4E">
        <w:rPr>
          <w:lang w:eastAsia="ja-JP"/>
        </w:rPr>
        <w:t>el-17 frequency domain resource configurations of the child IAB-node, including the RB set configuration.</w:t>
      </w:r>
      <w:bookmarkEnd w:id="104"/>
    </w:p>
    <w:p w14:paraId="45842B8A" w14:textId="09BC0D9A" w:rsidR="006F4034" w:rsidRPr="00521A4E" w:rsidRDefault="0093488E" w:rsidP="007E3B07">
      <w:pPr>
        <w:jc w:val="both"/>
        <w:rPr>
          <w:lang w:eastAsia="ja-JP"/>
        </w:rPr>
      </w:pPr>
      <w:r w:rsidRPr="00521A4E">
        <w:rPr>
          <w:lang w:eastAsia="ja-JP"/>
        </w:rPr>
        <w:t>In the RAN1#106bis meeting, there was a discussion on multiplexing operation adaptation and the feature lead ha</w:t>
      </w:r>
      <w:r w:rsidR="00B00749" w:rsidRPr="00521A4E">
        <w:rPr>
          <w:lang w:eastAsia="ja-JP"/>
        </w:rPr>
        <w:t>d</w:t>
      </w:r>
      <w:r w:rsidRPr="00521A4E">
        <w:rPr>
          <w:lang w:eastAsia="ja-JP"/>
        </w:rPr>
        <w:t xml:space="preserve"> the following proposal </w:t>
      </w:r>
      <w:r w:rsidRPr="00521A4E">
        <w:rPr>
          <w:lang w:eastAsia="ja-JP"/>
        </w:rPr>
        <w:fldChar w:fldCharType="begin"/>
      </w:r>
      <w:r w:rsidRPr="00521A4E">
        <w:rPr>
          <w:lang w:eastAsia="ja-JP"/>
        </w:rPr>
        <w:instrText xml:space="preserve"> REF _Ref85826876 \r \h </w:instrText>
      </w:r>
      <w:r w:rsidRPr="00521A4E">
        <w:rPr>
          <w:lang w:eastAsia="ja-JP"/>
        </w:rPr>
      </w:r>
      <w:r w:rsidR="007E3B07" w:rsidRPr="00521A4E">
        <w:rPr>
          <w:lang w:eastAsia="ja-JP"/>
        </w:rPr>
        <w:instrText xml:space="preserve"> \* MERGEFORMAT </w:instrText>
      </w:r>
      <w:r w:rsidRPr="00521A4E">
        <w:rPr>
          <w:lang w:eastAsia="ja-JP"/>
        </w:rPr>
        <w:fldChar w:fldCharType="separate"/>
      </w:r>
      <w:r w:rsidR="00F201E9">
        <w:rPr>
          <w:lang w:eastAsia="ja-JP"/>
        </w:rPr>
        <w:t>[8]</w:t>
      </w:r>
      <w:r w:rsidRPr="00521A4E">
        <w:rPr>
          <w:lang w:eastAsia="ja-JP"/>
        </w:rPr>
        <w:fldChar w:fldCharType="end"/>
      </w:r>
      <w:r w:rsidRPr="00521A4E">
        <w:rPr>
          <w:lang w:eastAsia="ja-JP"/>
        </w:rPr>
        <w:t>:</w:t>
      </w:r>
    </w:p>
    <w:p w14:paraId="305F89A8" w14:textId="77777777" w:rsidR="0093488E" w:rsidRPr="00521A4E" w:rsidRDefault="0093488E" w:rsidP="007E3B07">
      <w:pPr>
        <w:ind w:left="360"/>
        <w:jc w:val="both"/>
        <w:rPr>
          <w:rFonts w:cs="Arial"/>
          <w:b/>
          <w:szCs w:val="20"/>
        </w:rPr>
      </w:pPr>
      <w:r w:rsidRPr="00521A4E">
        <w:rPr>
          <w:rFonts w:cs="Arial"/>
          <w:b/>
          <w:szCs w:val="20"/>
        </w:rPr>
        <w:t>Proposal 2.3.1a: In Rel-17, the semi-static indication of the multiplexing capability of an IAB node for the case of no-TDM between IAB MT and IAB DU is additionally provided with respect to each transmission-direction combination (per MT CC/DU cell pair):</w:t>
      </w:r>
    </w:p>
    <w:p w14:paraId="5C30B936" w14:textId="77777777" w:rsidR="0093488E" w:rsidRPr="00521A4E" w:rsidRDefault="0093488E" w:rsidP="007E3B07">
      <w:pPr>
        <w:pStyle w:val="ListParagraph"/>
        <w:numPr>
          <w:ilvl w:val="0"/>
          <w:numId w:val="35"/>
        </w:numPr>
        <w:spacing w:before="60" w:after="120" w:line="240" w:lineRule="auto"/>
        <w:contextualSpacing/>
        <w:jc w:val="both"/>
        <w:rPr>
          <w:rFonts w:ascii="Arial" w:hAnsi="Arial" w:cs="Arial"/>
          <w:b/>
          <w:sz w:val="20"/>
          <w:szCs w:val="20"/>
          <w:lang w:val="en-US"/>
        </w:rPr>
      </w:pPr>
      <w:r w:rsidRPr="00521A4E">
        <w:rPr>
          <w:rFonts w:ascii="Arial" w:hAnsi="Arial" w:cs="Arial"/>
          <w:b/>
          <w:sz w:val="20"/>
          <w:szCs w:val="20"/>
          <w:lang w:val="en-US"/>
        </w:rPr>
        <w:t>Support for FDM (FFS: desired guard band)</w:t>
      </w:r>
    </w:p>
    <w:p w14:paraId="543E3BE3" w14:textId="77777777" w:rsidR="0093488E" w:rsidRPr="00521A4E" w:rsidRDefault="0093488E" w:rsidP="007E3B07">
      <w:pPr>
        <w:pStyle w:val="ListParagraph"/>
        <w:numPr>
          <w:ilvl w:val="0"/>
          <w:numId w:val="35"/>
        </w:numPr>
        <w:spacing w:before="60" w:after="120" w:line="240" w:lineRule="auto"/>
        <w:contextualSpacing/>
        <w:jc w:val="both"/>
        <w:rPr>
          <w:rFonts w:ascii="Arial" w:hAnsi="Arial" w:cs="Arial"/>
          <w:b/>
          <w:sz w:val="20"/>
          <w:szCs w:val="20"/>
          <w:lang w:val="en-US"/>
        </w:rPr>
      </w:pPr>
      <w:r w:rsidRPr="00521A4E">
        <w:rPr>
          <w:rFonts w:ascii="Arial" w:hAnsi="Arial" w:cs="Arial"/>
          <w:b/>
          <w:sz w:val="20"/>
          <w:szCs w:val="20"/>
          <w:lang w:val="en-US"/>
        </w:rPr>
        <w:t>Support for SDM (i.e. parent beam restrictions and/or child beam recommendations)</w:t>
      </w:r>
    </w:p>
    <w:p w14:paraId="728C4330" w14:textId="77777777" w:rsidR="0093488E" w:rsidRPr="00521A4E" w:rsidRDefault="0093488E" w:rsidP="007E3B07">
      <w:pPr>
        <w:pStyle w:val="ListParagraph"/>
        <w:numPr>
          <w:ilvl w:val="0"/>
          <w:numId w:val="35"/>
        </w:numPr>
        <w:spacing w:before="60" w:after="120" w:line="240" w:lineRule="auto"/>
        <w:contextualSpacing/>
        <w:jc w:val="both"/>
        <w:rPr>
          <w:rFonts w:ascii="Arial" w:hAnsi="Arial" w:cs="Arial"/>
          <w:b/>
          <w:sz w:val="20"/>
          <w:szCs w:val="20"/>
          <w:lang w:val="en-US"/>
        </w:rPr>
      </w:pPr>
      <w:r w:rsidRPr="00521A4E">
        <w:rPr>
          <w:rFonts w:ascii="Arial" w:hAnsi="Arial" w:cs="Arial"/>
          <w:b/>
          <w:sz w:val="20"/>
          <w:szCs w:val="20"/>
          <w:lang w:val="en-US"/>
        </w:rPr>
        <w:t>Supported timing modes</w:t>
      </w:r>
    </w:p>
    <w:p w14:paraId="09FA6C78" w14:textId="77777777" w:rsidR="0093488E" w:rsidRPr="00521A4E" w:rsidRDefault="0093488E" w:rsidP="007E3B07">
      <w:pPr>
        <w:pStyle w:val="ListParagraph"/>
        <w:numPr>
          <w:ilvl w:val="0"/>
          <w:numId w:val="35"/>
        </w:numPr>
        <w:spacing w:before="60" w:after="120" w:line="240" w:lineRule="auto"/>
        <w:contextualSpacing/>
        <w:jc w:val="both"/>
        <w:rPr>
          <w:rFonts w:ascii="Arial" w:hAnsi="Arial" w:cs="Arial"/>
          <w:b/>
          <w:sz w:val="20"/>
          <w:szCs w:val="20"/>
          <w:lang w:val="en-US"/>
        </w:rPr>
      </w:pPr>
      <w:r w:rsidRPr="00521A4E">
        <w:rPr>
          <w:rFonts w:ascii="Arial" w:hAnsi="Arial" w:cs="Arial"/>
          <w:b/>
          <w:sz w:val="20"/>
          <w:szCs w:val="20"/>
          <w:lang w:val="en-US"/>
        </w:rPr>
        <w:t>Support for DL Tx power adjustment</w:t>
      </w:r>
    </w:p>
    <w:p w14:paraId="671FFDF3" w14:textId="33B79AF7" w:rsidR="0093488E" w:rsidRPr="00521A4E" w:rsidRDefault="0093488E" w:rsidP="007E3B07">
      <w:pPr>
        <w:jc w:val="both"/>
        <w:rPr>
          <w:lang w:eastAsia="ja-JP"/>
        </w:rPr>
      </w:pPr>
      <w:r w:rsidRPr="00521A4E">
        <w:rPr>
          <w:lang w:eastAsia="ja-JP"/>
        </w:rPr>
        <w:t>The feature lead</w:t>
      </w:r>
      <w:r w:rsidR="006F4034" w:rsidRPr="00521A4E">
        <w:rPr>
          <w:lang w:eastAsia="ja-JP"/>
        </w:rPr>
        <w:t>’s</w:t>
      </w:r>
      <w:r w:rsidRPr="00521A4E">
        <w:rPr>
          <w:lang w:eastAsia="ja-JP"/>
        </w:rPr>
        <w:t xml:space="preserve"> conclusion is given as below:</w:t>
      </w:r>
    </w:p>
    <w:p w14:paraId="068DDC8C" w14:textId="77777777" w:rsidR="006F4034" w:rsidRPr="00521A4E" w:rsidRDefault="006F4034" w:rsidP="007E3B07">
      <w:pPr>
        <w:ind w:left="360"/>
        <w:jc w:val="both"/>
        <w:rPr>
          <w:rFonts w:cs="Arial"/>
          <w:b/>
          <w:bCs/>
          <w:color w:val="000000"/>
          <w:szCs w:val="20"/>
        </w:rPr>
      </w:pPr>
      <w:r w:rsidRPr="00521A4E">
        <w:rPr>
          <w:rFonts w:eastAsiaTheme="minorEastAsia"/>
          <w:b/>
          <w:bCs/>
          <w:highlight w:val="cyan"/>
          <w:lang w:eastAsia="zh-CN"/>
        </w:rPr>
        <w:t>Given the discussion, it seems the issue of supported multiplexing capabilities can be handled directly in 8.17.10 (IAB “UE” Features)</w:t>
      </w:r>
    </w:p>
    <w:p w14:paraId="282EA475" w14:textId="751BF2F0" w:rsidR="0093488E" w:rsidRPr="00521A4E" w:rsidRDefault="0093488E" w:rsidP="007E3B07">
      <w:pPr>
        <w:jc w:val="both"/>
      </w:pPr>
      <w:r w:rsidRPr="00521A4E">
        <w:lastRenderedPageBreak/>
        <w:t xml:space="preserve">Even though companies are supportive </w:t>
      </w:r>
      <w:r w:rsidR="0052199A" w:rsidRPr="00521A4E">
        <w:t>of</w:t>
      </w:r>
      <w:r w:rsidRPr="00521A4E">
        <w:t xml:space="preserve"> the intent of the proposal, most companies (7 of 13) have indicated a need of further clarification and discussion of Proposal 2.3.1a. It should be noted that in Rel-16 IAB, the semi-static multiplexing capability reporting is not considered as a UE feature since this capability is reported by the IAB-DU to the donor IAB-node via F1 signaling. We partly agree </w:t>
      </w:r>
      <w:r w:rsidR="0052199A" w:rsidRPr="00521A4E">
        <w:t>with</w:t>
      </w:r>
      <w:r w:rsidRPr="00521A4E">
        <w:t xml:space="preserve"> the feature lead that the Rel-16 semi-static indication of multiplexing capability should be enhanced. Specifically, an IAB-node should report its FDM capability to the donor-CU, </w:t>
      </w:r>
      <w:r w:rsidR="0052199A" w:rsidRPr="00521A4E">
        <w:t xml:space="preserve">and </w:t>
      </w:r>
      <w:r w:rsidRPr="00521A4E">
        <w:t xml:space="preserve">accordingly the donor-CU may provide the IAB-DU with the semi-static frequency domain resource configuration. One </w:t>
      </w:r>
      <w:r w:rsidR="004B5B26" w:rsidRPr="00521A4E">
        <w:t>solution</w:t>
      </w:r>
      <w:r w:rsidRPr="00521A4E">
        <w:t xml:space="preserve"> is to simply add one more value “supported-FDM required” to the two cases DU_RX/MT_RX and DU_TX/MT_TX in the current Multiplexing Info IE in the 3GPP TS 38.473 </w:t>
      </w:r>
      <w:r w:rsidRPr="00521A4E">
        <w:fldChar w:fldCharType="begin"/>
      </w:r>
      <w:r w:rsidRPr="00521A4E">
        <w:instrText xml:space="preserve"> REF _Ref74586963 \r \h </w:instrText>
      </w:r>
      <w:r w:rsidR="007E3B07" w:rsidRPr="00521A4E">
        <w:instrText xml:space="preserve"> \* MERGEFORMAT </w:instrText>
      </w:r>
      <w:r w:rsidRPr="00521A4E">
        <w:fldChar w:fldCharType="separate"/>
      </w:r>
      <w:r w:rsidR="00F201E9">
        <w:t>[9]</w:t>
      </w:r>
      <w:r w:rsidRPr="00521A4E">
        <w:fldChar w:fldCharType="end"/>
      </w:r>
      <w:r w:rsidRPr="00521A4E">
        <w:t>.</w:t>
      </w:r>
    </w:p>
    <w:p w14:paraId="1A44AC9B" w14:textId="5FA3F3AE" w:rsidR="0093488E" w:rsidRPr="00F364B7" w:rsidRDefault="0093488E" w:rsidP="00F364B7">
      <w:pPr>
        <w:pStyle w:val="Proposal"/>
        <w:tabs>
          <w:tab w:val="clear" w:pos="1872"/>
        </w:tabs>
        <w:ind w:left="1304"/>
        <w:rPr>
          <w:strike/>
        </w:rPr>
      </w:pPr>
      <w:bookmarkStart w:id="105" w:name="_Toc85814458"/>
      <w:bookmarkStart w:id="106" w:name="_Toc87042237"/>
      <w:r w:rsidRPr="00521A4E">
        <w:rPr>
          <w:lang w:eastAsia="ja-JP"/>
        </w:rPr>
        <w:t xml:space="preserve">Extend the semi-static IAB node multiplexing capability to include FDM-required for multiplexing modes MT RX/DU RX and MT TX/DU TX in the Multiplexing Info IE in 3GPP TS 38.473 </w:t>
      </w:r>
      <w:r w:rsidRPr="00521A4E">
        <w:rPr>
          <w:lang w:eastAsia="ja-JP"/>
        </w:rPr>
        <w:fldChar w:fldCharType="begin"/>
      </w:r>
      <w:r w:rsidRPr="00521A4E">
        <w:rPr>
          <w:lang w:eastAsia="ja-JP"/>
        </w:rPr>
        <w:instrText xml:space="preserve"> REF _Ref74586963 \r \h </w:instrText>
      </w:r>
      <w:r w:rsidRPr="00521A4E">
        <w:rPr>
          <w:lang w:eastAsia="ja-JP"/>
        </w:rPr>
      </w:r>
      <w:r w:rsidR="007E3B07" w:rsidRPr="00521A4E">
        <w:rPr>
          <w:lang w:eastAsia="ja-JP"/>
        </w:rPr>
        <w:instrText xml:space="preserve"> \* MERGEFORMAT </w:instrText>
      </w:r>
      <w:r w:rsidRPr="00521A4E">
        <w:rPr>
          <w:lang w:eastAsia="ja-JP"/>
        </w:rPr>
        <w:fldChar w:fldCharType="separate"/>
      </w:r>
      <w:r w:rsidR="00F201E9">
        <w:rPr>
          <w:lang w:eastAsia="ja-JP"/>
        </w:rPr>
        <w:t>[9]</w:t>
      </w:r>
      <w:r w:rsidRPr="00521A4E">
        <w:rPr>
          <w:lang w:eastAsia="ja-JP"/>
        </w:rPr>
        <w:fldChar w:fldCharType="end"/>
      </w:r>
      <w:r w:rsidRPr="00521A4E">
        <w:rPr>
          <w:lang w:eastAsia="ja-JP"/>
        </w:rPr>
        <w:t>.</w:t>
      </w:r>
      <w:bookmarkEnd w:id="105"/>
      <w:bookmarkEnd w:id="106"/>
    </w:p>
    <w:p w14:paraId="51563CCF" w14:textId="77777777" w:rsidR="009A6063" w:rsidRPr="00521A4E" w:rsidRDefault="009A6063" w:rsidP="007E3B07">
      <w:pPr>
        <w:pStyle w:val="Heading3"/>
        <w:jc w:val="both"/>
        <w:rPr>
          <w:lang w:val="en-US"/>
        </w:rPr>
      </w:pPr>
      <w:bookmarkStart w:id="107" w:name="_Ref68521754"/>
      <w:r w:rsidRPr="00521A4E">
        <w:rPr>
          <w:lang w:val="en-US"/>
        </w:rPr>
        <w:t>Coexistence of simultaneous operation and TDM</w:t>
      </w:r>
      <w:bookmarkEnd w:id="107"/>
    </w:p>
    <w:p w14:paraId="67B5D588" w14:textId="2DEA2CE9" w:rsidR="009607CA" w:rsidRPr="00521A4E" w:rsidRDefault="009A6063" w:rsidP="007E3B07">
      <w:pPr>
        <w:jc w:val="both"/>
        <w:rPr>
          <w:rFonts w:cs="Arial"/>
          <w:szCs w:val="20"/>
        </w:rPr>
      </w:pPr>
      <w:r w:rsidRPr="00521A4E">
        <w:rPr>
          <w:rFonts w:cs="Arial"/>
          <w:szCs w:val="20"/>
        </w:rPr>
        <w:t>When an IAB-node is capable of FDM, it can be configured with frequency-domain H/S/NA as described in Sec. </w:t>
      </w:r>
      <w:r w:rsidRPr="00521A4E">
        <w:rPr>
          <w:rFonts w:cs="Arial"/>
          <w:szCs w:val="20"/>
        </w:rPr>
        <w:fldChar w:fldCharType="begin"/>
      </w:r>
      <w:r w:rsidRPr="00521A4E">
        <w:rPr>
          <w:rFonts w:cs="Arial"/>
          <w:szCs w:val="20"/>
        </w:rPr>
        <w:instrText xml:space="preserve"> REF _Ref58590315 \r \h  \* MERGEFORMAT </w:instrText>
      </w:r>
      <w:r w:rsidRPr="00521A4E">
        <w:rPr>
          <w:rFonts w:cs="Arial"/>
          <w:szCs w:val="20"/>
        </w:rPr>
      </w:r>
      <w:r w:rsidRPr="00521A4E">
        <w:rPr>
          <w:rFonts w:cs="Arial"/>
          <w:szCs w:val="20"/>
        </w:rPr>
        <w:fldChar w:fldCharType="separate"/>
      </w:r>
      <w:r w:rsidR="00F201E9">
        <w:rPr>
          <w:rFonts w:cs="Arial"/>
          <w:szCs w:val="20"/>
        </w:rPr>
        <w:t>2.1.1</w:t>
      </w:r>
      <w:r w:rsidRPr="00521A4E">
        <w:rPr>
          <w:rFonts w:cs="Arial"/>
          <w:szCs w:val="20"/>
        </w:rPr>
        <w:fldChar w:fldCharType="end"/>
      </w:r>
      <w:r w:rsidRPr="00521A4E">
        <w:rPr>
          <w:rFonts w:cs="Arial"/>
          <w:szCs w:val="20"/>
        </w:rPr>
        <w:t xml:space="preserve">. </w:t>
      </w:r>
      <w:bookmarkStart w:id="108" w:name="_Hlk75727890"/>
      <w:r w:rsidRPr="00521A4E">
        <w:rPr>
          <w:rFonts w:cs="Arial"/>
          <w:szCs w:val="20"/>
        </w:rPr>
        <w:t xml:space="preserve">Generally speaking, it is beneficial to have H/S/NA resources for an IAB-DU configured based on the multiplexing capability of the IAB-node, which is typically provided from the IAB-node to the IAB-donor-CU via F1 signaling. </w:t>
      </w:r>
      <w:bookmarkStart w:id="109" w:name="_Hlk75727975"/>
      <w:bookmarkEnd w:id="108"/>
      <w:r w:rsidRPr="00521A4E">
        <w:rPr>
          <w:rFonts w:cs="Arial"/>
          <w:szCs w:val="20"/>
        </w:rPr>
        <w:t>In an operational network, the actual multiplexing capability of the IAB-node may change locally and dynamically</w:t>
      </w:r>
      <w:r w:rsidR="006601CF" w:rsidRPr="00521A4E">
        <w:rPr>
          <w:rFonts w:cs="Arial"/>
          <w:szCs w:val="20"/>
        </w:rPr>
        <w:t>, and</w:t>
      </w:r>
      <w:r w:rsidRPr="00521A4E">
        <w:rPr>
          <w:rFonts w:cs="Arial"/>
          <w:szCs w:val="20"/>
        </w:rPr>
        <w:t xml:space="preserve"> </w:t>
      </w:r>
      <w:r w:rsidR="006601CF" w:rsidRPr="00521A4E">
        <w:rPr>
          <w:rFonts w:cs="Arial"/>
          <w:szCs w:val="20"/>
        </w:rPr>
        <w:t>s</w:t>
      </w:r>
      <w:r w:rsidRPr="00521A4E">
        <w:rPr>
          <w:rFonts w:cs="Arial"/>
          <w:szCs w:val="20"/>
        </w:rPr>
        <w:t>uch a change may not be captured by the IAB-donor-CU in time.</w:t>
      </w:r>
      <w:r w:rsidR="006601CF" w:rsidRPr="00521A4E">
        <w:rPr>
          <w:rFonts w:cs="Arial"/>
          <w:szCs w:val="20"/>
        </w:rPr>
        <w:t xml:space="preserve"> Considering that the semi-static resource configuration is not supposed to be changed frequently,</w:t>
      </w:r>
      <w:r w:rsidRPr="00521A4E">
        <w:rPr>
          <w:rFonts w:cs="Arial"/>
          <w:szCs w:val="20"/>
        </w:rPr>
        <w:t xml:space="preserve"> </w:t>
      </w:r>
      <w:r w:rsidR="006601CF" w:rsidRPr="00521A4E">
        <w:rPr>
          <w:rFonts w:cs="Arial"/>
          <w:szCs w:val="20"/>
        </w:rPr>
        <w:t>i</w:t>
      </w:r>
      <w:r w:rsidRPr="00521A4E">
        <w:rPr>
          <w:rFonts w:cs="Arial"/>
          <w:szCs w:val="20"/>
        </w:rPr>
        <w:t xml:space="preserve">t could happen that the semi-static resource configuration becomes inconsistent with the updated IAB multiplexing capability, and accordingly the intended H/S/NA configuration cannot be used by the IAB-node. For example, when the conditions for simultaneous transmission or reception temporarily fail, the IAB-node should </w:t>
      </w:r>
      <w:r w:rsidR="009A655F" w:rsidRPr="00521A4E">
        <w:rPr>
          <w:rFonts w:cs="Arial"/>
          <w:szCs w:val="20"/>
        </w:rPr>
        <w:t xml:space="preserve">smoothly </w:t>
      </w:r>
      <w:r w:rsidRPr="00521A4E">
        <w:rPr>
          <w:rFonts w:cs="Arial"/>
          <w:szCs w:val="20"/>
        </w:rPr>
        <w:t>fall back and operate in a TDM mode, without causing radio link failure.</w:t>
      </w:r>
      <w:bookmarkEnd w:id="109"/>
      <w:r w:rsidR="00E409BB" w:rsidRPr="00521A4E">
        <w:rPr>
          <w:rFonts w:cs="Arial"/>
          <w:szCs w:val="20"/>
        </w:rPr>
        <w:t xml:space="preserve"> </w:t>
      </w:r>
    </w:p>
    <w:p w14:paraId="20293266" w14:textId="5426DB06" w:rsidR="00E409BB" w:rsidRPr="00521A4E" w:rsidRDefault="00E409BB" w:rsidP="007E3B07">
      <w:pPr>
        <w:jc w:val="both"/>
        <w:rPr>
          <w:rFonts w:cs="Arial"/>
          <w:szCs w:val="20"/>
        </w:rPr>
      </w:pPr>
      <w:r w:rsidRPr="00521A4E">
        <w:rPr>
          <w:rFonts w:cs="Arial"/>
          <w:szCs w:val="20"/>
        </w:rPr>
        <w:t>In RAN1#10</w:t>
      </w:r>
      <w:r w:rsidR="00BC21DD" w:rsidRPr="00521A4E">
        <w:rPr>
          <w:rFonts w:cs="Arial"/>
          <w:szCs w:val="20"/>
        </w:rPr>
        <w:t>6bis</w:t>
      </w:r>
      <w:r w:rsidRPr="00521A4E">
        <w:rPr>
          <w:rFonts w:cs="Arial"/>
          <w:szCs w:val="20"/>
        </w:rPr>
        <w:t xml:space="preserve">-e, the </w:t>
      </w:r>
      <w:r w:rsidR="000F018A" w:rsidRPr="00521A4E">
        <w:rPr>
          <w:rFonts w:cs="Arial"/>
          <w:szCs w:val="20"/>
        </w:rPr>
        <w:t>working assumption for</w:t>
      </w:r>
      <w:r w:rsidRPr="00521A4E">
        <w:rPr>
          <w:rFonts w:cs="Arial"/>
          <w:szCs w:val="20"/>
        </w:rPr>
        <w:t xml:space="preserve"> </w:t>
      </w:r>
      <w:r w:rsidR="000F018A" w:rsidRPr="00521A4E">
        <w:rPr>
          <w:rFonts w:cs="Arial"/>
          <w:szCs w:val="20"/>
        </w:rPr>
        <w:t xml:space="preserve">coexistence of simultaneous operation </w:t>
      </w:r>
      <w:r w:rsidRPr="00521A4E">
        <w:rPr>
          <w:rFonts w:cs="Arial"/>
          <w:szCs w:val="20"/>
        </w:rPr>
        <w:t>w</w:t>
      </w:r>
      <w:r w:rsidR="000F018A" w:rsidRPr="00521A4E">
        <w:rPr>
          <w:rFonts w:cs="Arial"/>
          <w:szCs w:val="20"/>
        </w:rPr>
        <w:t>as</w:t>
      </w:r>
      <w:r w:rsidRPr="00521A4E">
        <w:rPr>
          <w:rFonts w:cs="Arial"/>
          <w:szCs w:val="20"/>
        </w:rPr>
        <w:t xml:space="preserve"> agreed</w:t>
      </w:r>
      <w:r w:rsidR="000F018A" w:rsidRPr="00521A4E">
        <w:rPr>
          <w:rFonts w:cs="Arial"/>
          <w:szCs w:val="20"/>
        </w:rPr>
        <w:t xml:space="preserve"> </w:t>
      </w:r>
      <w:r w:rsidR="000F018A" w:rsidRPr="00521A4E">
        <w:rPr>
          <w:rFonts w:cs="Arial"/>
          <w:szCs w:val="20"/>
        </w:rPr>
        <w:fldChar w:fldCharType="begin"/>
      </w:r>
      <w:r w:rsidR="000F018A" w:rsidRPr="00521A4E">
        <w:rPr>
          <w:rFonts w:cs="Arial"/>
          <w:szCs w:val="20"/>
        </w:rPr>
        <w:instrText xml:space="preserve"> REF _Ref85313944 \r \h </w:instrText>
      </w:r>
      <w:r w:rsidR="000F018A" w:rsidRPr="00521A4E">
        <w:rPr>
          <w:rFonts w:cs="Arial"/>
          <w:szCs w:val="20"/>
        </w:rPr>
      </w:r>
      <w:r w:rsidR="007E3B07" w:rsidRPr="00521A4E">
        <w:rPr>
          <w:rFonts w:cs="Arial"/>
          <w:szCs w:val="20"/>
        </w:rPr>
        <w:instrText xml:space="preserve"> \* MERGEFORMAT </w:instrText>
      </w:r>
      <w:r w:rsidR="000F018A" w:rsidRPr="00521A4E">
        <w:rPr>
          <w:rFonts w:cs="Arial"/>
          <w:szCs w:val="20"/>
        </w:rPr>
        <w:fldChar w:fldCharType="separate"/>
      </w:r>
      <w:r w:rsidR="00F201E9">
        <w:rPr>
          <w:rFonts w:cs="Arial"/>
          <w:szCs w:val="20"/>
        </w:rPr>
        <w:t>[4]</w:t>
      </w:r>
      <w:r w:rsidR="000F018A"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E409BB" w:rsidRPr="00521A4E" w14:paraId="55AA41E9" w14:textId="77777777" w:rsidTr="00762A16">
        <w:tc>
          <w:tcPr>
            <w:tcW w:w="9629" w:type="dxa"/>
          </w:tcPr>
          <w:p w14:paraId="291BF33A" w14:textId="744D98CA" w:rsidR="00675C33" w:rsidRPr="00521A4E" w:rsidRDefault="00675C33" w:rsidP="007E3B07">
            <w:pPr>
              <w:contextualSpacing/>
              <w:jc w:val="both"/>
              <w:rPr>
                <w:rFonts w:cs="Times"/>
                <w:b/>
                <w:szCs w:val="20"/>
              </w:rPr>
            </w:pPr>
            <w:r w:rsidRPr="00521A4E">
              <w:rPr>
                <w:rFonts w:cs="Times"/>
                <w:b/>
                <w:szCs w:val="20"/>
                <w:highlight w:val="darkYellow"/>
              </w:rPr>
              <w:t>Working Assumption</w:t>
            </w:r>
          </w:p>
          <w:p w14:paraId="5FEB77D0" w14:textId="77777777" w:rsidR="00675C33" w:rsidRPr="00521A4E" w:rsidRDefault="00675C33" w:rsidP="007E3B07">
            <w:pPr>
              <w:contextualSpacing/>
              <w:jc w:val="both"/>
              <w:rPr>
                <w:rFonts w:cs="Arial"/>
                <w:sz w:val="20"/>
                <w:szCs w:val="20"/>
              </w:rPr>
            </w:pPr>
          </w:p>
          <w:p w14:paraId="304EC53F" w14:textId="77777777" w:rsidR="00675C33" w:rsidRPr="00521A4E" w:rsidRDefault="00675C33" w:rsidP="007E3B07">
            <w:pPr>
              <w:jc w:val="both"/>
              <w:rPr>
                <w:rFonts w:cs="Arial"/>
                <w:sz w:val="20"/>
                <w:szCs w:val="20"/>
              </w:rPr>
            </w:pPr>
            <w:r w:rsidRPr="00521A4E">
              <w:rPr>
                <w:rFonts w:cs="Arial"/>
                <w:sz w:val="20"/>
                <w:szCs w:val="20"/>
              </w:rPr>
              <w:t>If both the Rel-16 time domain H/S/NA configuration and Rel-17 frequency domain H/S/NA configuration are provided for a given RB set within a slot, one of the following is selected:</w:t>
            </w:r>
          </w:p>
          <w:p w14:paraId="58F1DF2C" w14:textId="77777777" w:rsidR="00675C33" w:rsidRPr="00521A4E" w:rsidRDefault="00675C33" w:rsidP="007E3B07">
            <w:pPr>
              <w:pStyle w:val="ListParagraph"/>
              <w:numPr>
                <w:ilvl w:val="0"/>
                <w:numId w:val="21"/>
              </w:numPr>
              <w:spacing w:before="60" w:after="120" w:line="240" w:lineRule="auto"/>
              <w:contextualSpacing/>
              <w:jc w:val="both"/>
              <w:rPr>
                <w:rFonts w:ascii="Arial" w:hAnsi="Arial" w:cs="Arial"/>
                <w:i/>
                <w:sz w:val="20"/>
                <w:szCs w:val="20"/>
                <w:lang w:val="en-US"/>
              </w:rPr>
            </w:pPr>
            <w:r w:rsidRPr="00521A4E">
              <w:rPr>
                <w:rFonts w:ascii="Arial" w:hAnsi="Arial" w:cs="Arial"/>
                <w:sz w:val="20"/>
                <w:szCs w:val="20"/>
                <w:lang w:val="en-US"/>
              </w:rPr>
              <w:t xml:space="preserve">Alt. 1: An IAB node applies the frequency domain H/S/NA only if the IAB node is currently operating in a non-TDM multiplexing mode </w:t>
            </w:r>
            <w:r w:rsidRPr="00521A4E">
              <w:rPr>
                <w:rFonts w:ascii="Arial" w:hAnsi="Arial" w:cs="Arial"/>
                <w:color w:val="000000"/>
                <w:sz w:val="20"/>
                <w:szCs w:val="20"/>
                <w:lang w:val="en-US"/>
              </w:rPr>
              <w:t>in the slot</w:t>
            </w:r>
            <w:r w:rsidRPr="00521A4E">
              <w:rPr>
                <w:rFonts w:ascii="Arial" w:hAnsi="Arial" w:cs="Arial"/>
                <w:sz w:val="20"/>
                <w:szCs w:val="20"/>
                <w:lang w:val="en-US"/>
              </w:rPr>
              <w:t>, otherwise the Rel-16 time domain H/S/NA configuration is applied.</w:t>
            </w:r>
          </w:p>
          <w:p w14:paraId="520B7A4B" w14:textId="77777777" w:rsidR="00675C33" w:rsidRPr="00521A4E" w:rsidRDefault="00675C33" w:rsidP="007E3B07">
            <w:pPr>
              <w:jc w:val="both"/>
              <w:rPr>
                <w:rFonts w:cs="Arial"/>
                <w:sz w:val="20"/>
                <w:szCs w:val="20"/>
                <w:lang w:eastAsia="x-none"/>
              </w:rPr>
            </w:pPr>
          </w:p>
          <w:p w14:paraId="1D5F6AE3" w14:textId="77777777" w:rsidR="00675C33" w:rsidRPr="00521A4E" w:rsidRDefault="00675C33" w:rsidP="007E3B07">
            <w:pPr>
              <w:jc w:val="both"/>
              <w:rPr>
                <w:rFonts w:cs="Arial"/>
                <w:sz w:val="20"/>
                <w:szCs w:val="20"/>
                <w:lang w:eastAsia="x-none"/>
              </w:rPr>
            </w:pPr>
            <w:r w:rsidRPr="00521A4E">
              <w:rPr>
                <w:rFonts w:cs="Arial"/>
                <w:sz w:val="20"/>
                <w:szCs w:val="20"/>
                <w:lang w:eastAsia="x-none"/>
              </w:rPr>
              <w:t>For RAN1#106bis-e, companies to consider the following decision point:</w:t>
            </w:r>
          </w:p>
          <w:p w14:paraId="70943F8F" w14:textId="77777777" w:rsidR="00675C33" w:rsidRPr="00521A4E" w:rsidRDefault="00675C33" w:rsidP="007E3B07">
            <w:pPr>
              <w:jc w:val="both"/>
              <w:rPr>
                <w:rFonts w:cs="Arial"/>
                <w:sz w:val="20"/>
                <w:szCs w:val="20"/>
              </w:rPr>
            </w:pPr>
            <w:r w:rsidRPr="00521A4E">
              <w:rPr>
                <w:rFonts w:cs="Arial"/>
                <w:sz w:val="20"/>
                <w:szCs w:val="20"/>
              </w:rPr>
              <w:t>An IAB node (or parent node) cannot operate under a given non-TDM multiplexing mode until:</w:t>
            </w:r>
          </w:p>
          <w:p w14:paraId="02573A87" w14:textId="77777777" w:rsidR="00675C33" w:rsidRPr="00521A4E" w:rsidRDefault="00675C33" w:rsidP="007E3B07">
            <w:pPr>
              <w:pStyle w:val="ListParagraph"/>
              <w:numPr>
                <w:ilvl w:val="0"/>
                <w:numId w:val="22"/>
              </w:numPr>
              <w:spacing w:before="60" w:after="120" w:line="240" w:lineRule="auto"/>
              <w:contextualSpacing/>
              <w:jc w:val="both"/>
              <w:rPr>
                <w:rFonts w:ascii="Arial" w:hAnsi="Arial" w:cs="Arial"/>
                <w:sz w:val="20"/>
                <w:szCs w:val="20"/>
                <w:lang w:val="en-US"/>
              </w:rPr>
            </w:pPr>
            <w:r w:rsidRPr="00521A4E">
              <w:rPr>
                <w:rFonts w:ascii="Arial" w:hAnsi="Arial" w:cs="Arial"/>
                <w:sz w:val="20"/>
                <w:szCs w:val="20"/>
                <w:lang w:val="en-US"/>
              </w:rPr>
              <w:t>Alt. 1: All required conditions and parameters which have been directly indicated/requested to the parent node (e.g. via MAC-CE) are explicitly acknowledged by the parent node.</w:t>
            </w:r>
          </w:p>
          <w:p w14:paraId="40A00345" w14:textId="53C0EEE1" w:rsidR="00E409BB" w:rsidRPr="00521A4E" w:rsidRDefault="00675C33" w:rsidP="007E3B07">
            <w:pPr>
              <w:pStyle w:val="ListParagraph"/>
              <w:numPr>
                <w:ilvl w:val="0"/>
                <w:numId w:val="22"/>
              </w:numPr>
              <w:spacing w:before="60" w:after="120" w:line="240" w:lineRule="auto"/>
              <w:contextualSpacing/>
              <w:jc w:val="both"/>
              <w:rPr>
                <w:rFonts w:ascii="Arial" w:hAnsi="Arial" w:cs="Arial"/>
                <w:sz w:val="20"/>
                <w:szCs w:val="20"/>
                <w:lang w:val="en-US"/>
              </w:rPr>
            </w:pPr>
            <w:r w:rsidRPr="00521A4E">
              <w:rPr>
                <w:rFonts w:ascii="Arial" w:hAnsi="Arial" w:cs="Arial"/>
                <w:sz w:val="20"/>
                <w:szCs w:val="20"/>
                <w:lang w:val="en-US"/>
              </w:rPr>
              <w:t>Alt. 2: All required conditions and parameters which have been directly indicated/requested to the parent node (e.g. via MAC-CE) are implicitly acknowledged by the parent node or implicitly determined at the child node</w:t>
            </w:r>
            <w:r w:rsidR="00716325" w:rsidRPr="00521A4E">
              <w:rPr>
                <w:rFonts w:ascii="Arial" w:hAnsi="Arial" w:cs="Arial"/>
                <w:sz w:val="20"/>
                <w:szCs w:val="20"/>
                <w:lang w:val="en-US"/>
              </w:rPr>
              <w:t>.</w:t>
            </w:r>
          </w:p>
        </w:tc>
      </w:tr>
    </w:tbl>
    <w:p w14:paraId="22C5BA18" w14:textId="734F96D0" w:rsidR="00EE65D8" w:rsidRPr="00521A4E" w:rsidRDefault="00E409BB" w:rsidP="008B71F6">
      <w:pPr>
        <w:spacing w:before="240"/>
        <w:jc w:val="both"/>
        <w:rPr>
          <w:rFonts w:cs="Arial"/>
          <w:szCs w:val="20"/>
        </w:rPr>
      </w:pPr>
      <w:r w:rsidRPr="00521A4E">
        <w:rPr>
          <w:rFonts w:cs="Arial"/>
          <w:szCs w:val="20"/>
        </w:rPr>
        <w:t xml:space="preserve">Our interpretation of the above </w:t>
      </w:r>
      <w:r w:rsidR="00B5591C" w:rsidRPr="00521A4E">
        <w:rPr>
          <w:rFonts w:cs="Arial"/>
          <w:szCs w:val="20"/>
        </w:rPr>
        <w:t>working assumption</w:t>
      </w:r>
      <w:r w:rsidRPr="00521A4E">
        <w:rPr>
          <w:rFonts w:cs="Arial"/>
          <w:szCs w:val="20"/>
        </w:rPr>
        <w:t xml:space="preserve"> is that time-domain H/S/NA is always provided to the </w:t>
      </w:r>
      <w:r w:rsidR="00F573B6" w:rsidRPr="00521A4E">
        <w:rPr>
          <w:rFonts w:cs="Arial"/>
          <w:szCs w:val="20"/>
        </w:rPr>
        <w:t>IAB-node</w:t>
      </w:r>
      <w:r w:rsidRPr="00521A4E">
        <w:rPr>
          <w:rFonts w:cs="Arial"/>
          <w:szCs w:val="20"/>
        </w:rPr>
        <w:t xml:space="preserve"> </w:t>
      </w:r>
      <w:r w:rsidR="009A6063" w:rsidRPr="00521A4E">
        <w:rPr>
          <w:rFonts w:cs="Arial"/>
          <w:szCs w:val="20"/>
        </w:rPr>
        <w:t>even if ”TDM not required” is indicated to the IAB-donor-CU. Even though an IAB-node is provided with both TDM and FDM resource multiplexing configurations, the use of TDM or FDM</w:t>
      </w:r>
      <w:r w:rsidRPr="00521A4E">
        <w:rPr>
          <w:rFonts w:cs="Arial"/>
          <w:szCs w:val="20"/>
        </w:rPr>
        <w:t xml:space="preserve"> at an IAB-DU cell</w:t>
      </w:r>
      <w:r w:rsidR="009A6063" w:rsidRPr="00521A4E">
        <w:rPr>
          <w:rFonts w:cs="Arial"/>
          <w:szCs w:val="20"/>
        </w:rPr>
        <w:t xml:space="preserve"> is orthogonal which means </w:t>
      </w:r>
      <w:r w:rsidR="009A655F" w:rsidRPr="00521A4E">
        <w:rPr>
          <w:rFonts w:cs="Arial"/>
          <w:szCs w:val="20"/>
        </w:rPr>
        <w:t>that</w:t>
      </w:r>
      <w:r w:rsidR="009A6063" w:rsidRPr="00521A4E">
        <w:rPr>
          <w:rFonts w:cs="Arial"/>
          <w:szCs w:val="20"/>
        </w:rPr>
        <w:t xml:space="preserve"> for a certain time resource (e.g., a slot) either one or the other multiplexing mode is used. If a slot is </w:t>
      </w:r>
      <w:r w:rsidR="009A655F" w:rsidRPr="00521A4E">
        <w:rPr>
          <w:rFonts w:cs="Arial"/>
          <w:szCs w:val="20"/>
        </w:rPr>
        <w:t xml:space="preserve">configured </w:t>
      </w:r>
      <w:r w:rsidR="009A6063" w:rsidRPr="00521A4E">
        <w:rPr>
          <w:rFonts w:cs="Arial"/>
          <w:szCs w:val="20"/>
        </w:rPr>
        <w:t xml:space="preserve">in TDM mode, the time-domain H/S/NA configurations will apply to the entire bandwidth; whilst if a slot is </w:t>
      </w:r>
      <w:r w:rsidR="009A655F" w:rsidRPr="00521A4E">
        <w:rPr>
          <w:rFonts w:cs="Arial"/>
          <w:szCs w:val="20"/>
        </w:rPr>
        <w:t>configured</w:t>
      </w:r>
      <w:r w:rsidR="009A6063" w:rsidRPr="00521A4E">
        <w:rPr>
          <w:rFonts w:cs="Arial"/>
          <w:szCs w:val="20"/>
        </w:rPr>
        <w:t xml:space="preserve"> in FDM mode, different </w:t>
      </w:r>
      <w:r w:rsidR="00E9437C" w:rsidRPr="00521A4E">
        <w:rPr>
          <w:rFonts w:cs="Arial"/>
          <w:szCs w:val="20"/>
        </w:rPr>
        <w:t>RB</w:t>
      </w:r>
      <w:r w:rsidR="00BE46A7" w:rsidRPr="00521A4E">
        <w:rPr>
          <w:rFonts w:cs="Arial"/>
          <w:szCs w:val="20"/>
        </w:rPr>
        <w:t>-</w:t>
      </w:r>
      <w:r w:rsidR="00E9437C" w:rsidRPr="00521A4E">
        <w:rPr>
          <w:rFonts w:cs="Arial"/>
          <w:szCs w:val="20"/>
        </w:rPr>
        <w:t>Set</w:t>
      </w:r>
      <w:r w:rsidR="009A6063" w:rsidRPr="00521A4E">
        <w:rPr>
          <w:rFonts w:cs="Arial"/>
          <w:szCs w:val="20"/>
        </w:rPr>
        <w:t xml:space="preserve">s within the serving cell bandwidth can be configured with different frequency-domain H/S/NA resources. </w:t>
      </w:r>
      <w:r w:rsidR="00BF027F" w:rsidRPr="00521A4E">
        <w:rPr>
          <w:rFonts w:cs="Arial"/>
          <w:szCs w:val="20"/>
        </w:rPr>
        <w:t xml:space="preserve">This implies that TDM and FDM operation are used in separate time resources such that </w:t>
      </w:r>
      <w:r w:rsidR="009A6063" w:rsidRPr="00521A4E">
        <w:rPr>
          <w:rFonts w:cs="Arial"/>
          <w:szCs w:val="20"/>
        </w:rPr>
        <w:t xml:space="preserve">TDM and FDM can be configured and operate independently. </w:t>
      </w:r>
      <w:r w:rsidR="00580A7B" w:rsidRPr="00521A4E">
        <w:rPr>
          <w:rFonts w:cs="Arial"/>
          <w:szCs w:val="20"/>
        </w:rPr>
        <w:t>Consequently</w:t>
      </w:r>
      <w:r w:rsidR="009A6063" w:rsidRPr="00521A4E">
        <w:rPr>
          <w:rFonts w:cs="Arial"/>
          <w:szCs w:val="20"/>
        </w:rPr>
        <w:t xml:space="preserve">, the parent IAB-node and IAB-node may operate in different multiplexing modes in the same </w:t>
      </w:r>
      <w:r w:rsidR="009A6063" w:rsidRPr="00521A4E">
        <w:rPr>
          <w:rFonts w:cs="Arial"/>
          <w:szCs w:val="20"/>
        </w:rPr>
        <w:lastRenderedPageBreak/>
        <w:t xml:space="preserve">slot. </w:t>
      </w:r>
      <w:r w:rsidR="00CB66DB" w:rsidRPr="00521A4E">
        <w:rPr>
          <w:rFonts w:cs="Arial"/>
          <w:szCs w:val="20"/>
        </w:rPr>
        <w:t>It should be note</w:t>
      </w:r>
      <w:r w:rsidR="00D96BD1" w:rsidRPr="00521A4E">
        <w:rPr>
          <w:rFonts w:cs="Arial"/>
          <w:szCs w:val="20"/>
        </w:rPr>
        <w:t>d</w:t>
      </w:r>
      <w:r w:rsidR="00CB66DB" w:rsidRPr="00521A4E">
        <w:rPr>
          <w:rFonts w:cs="Arial"/>
          <w:szCs w:val="20"/>
        </w:rPr>
        <w:t xml:space="preserve"> that the above does not contradict that the FDM configuration inherits some of its attributes from the TDM configuration, e.g., where the FDM H/S/NA configuration coincides with the TDM H/S/NA configuration.</w:t>
      </w:r>
    </w:p>
    <w:p w14:paraId="27092B66" w14:textId="1C4C502D" w:rsidR="00556205" w:rsidRPr="00521A4E" w:rsidRDefault="00CB66DB" w:rsidP="007E3B07">
      <w:pPr>
        <w:jc w:val="both"/>
        <w:rPr>
          <w:rFonts w:eastAsiaTheme="minorEastAsia" w:cs="Arial"/>
          <w:szCs w:val="20"/>
          <w:lang w:eastAsia="zh-CN"/>
        </w:rPr>
      </w:pPr>
      <w:r w:rsidRPr="00521A4E">
        <w:rPr>
          <w:rFonts w:cs="Arial"/>
          <w:szCs w:val="20"/>
        </w:rPr>
        <w:t>S</w:t>
      </w:r>
      <w:r w:rsidR="00EE65D8" w:rsidRPr="00521A4E">
        <w:rPr>
          <w:rFonts w:cs="Arial"/>
          <w:szCs w:val="20"/>
        </w:rPr>
        <w:t>pecifying a</w:t>
      </w:r>
      <w:r w:rsidR="00213E6B" w:rsidRPr="00521A4E">
        <w:rPr>
          <w:rFonts w:cs="Arial"/>
          <w:szCs w:val="20"/>
        </w:rPr>
        <w:t xml:space="preserve"> </w:t>
      </w:r>
      <w:r w:rsidR="00EE65D8" w:rsidRPr="00521A4E">
        <w:rPr>
          <w:rFonts w:cs="Arial"/>
          <w:szCs w:val="20"/>
        </w:rPr>
        <w:t>joint</w:t>
      </w:r>
      <w:r w:rsidR="00213E6B" w:rsidRPr="00521A4E">
        <w:rPr>
          <w:rFonts w:cs="Arial"/>
          <w:szCs w:val="20"/>
        </w:rPr>
        <w:t xml:space="preserve"> </w:t>
      </w:r>
      <w:r w:rsidR="00EE65D8" w:rsidRPr="00521A4E">
        <w:rPr>
          <w:rFonts w:cs="Arial"/>
          <w:szCs w:val="20"/>
        </w:rPr>
        <w:t>application</w:t>
      </w:r>
      <w:r w:rsidR="00213E6B" w:rsidRPr="00521A4E">
        <w:rPr>
          <w:rFonts w:cs="Arial"/>
          <w:szCs w:val="20"/>
        </w:rPr>
        <w:t xml:space="preserve"> of TDM H/S/NA and FDM H/S/NA</w:t>
      </w:r>
      <w:r w:rsidR="00EE65D8" w:rsidRPr="00521A4E">
        <w:rPr>
          <w:rFonts w:cs="Arial"/>
          <w:szCs w:val="20"/>
        </w:rPr>
        <w:t xml:space="preserve"> will cause s</w:t>
      </w:r>
      <w:r w:rsidR="00133493" w:rsidRPr="00521A4E">
        <w:rPr>
          <w:rFonts w:cs="Arial"/>
          <w:szCs w:val="20"/>
        </w:rPr>
        <w:t>ubstantial</w:t>
      </w:r>
      <w:r w:rsidR="00EE65D8" w:rsidRPr="00521A4E">
        <w:rPr>
          <w:rFonts w:cs="Arial"/>
          <w:szCs w:val="20"/>
        </w:rPr>
        <w:t xml:space="preserve"> problems</w:t>
      </w:r>
      <w:r w:rsidR="00133493" w:rsidRPr="00521A4E">
        <w:rPr>
          <w:rFonts w:cs="Arial"/>
          <w:szCs w:val="20"/>
        </w:rPr>
        <w:t xml:space="preserve"> for backwards compatibility</w:t>
      </w:r>
      <w:r w:rsidR="00213E6B" w:rsidRPr="00521A4E">
        <w:rPr>
          <w:rFonts w:cs="Arial"/>
          <w:szCs w:val="20"/>
        </w:rPr>
        <w:t xml:space="preserve">. </w:t>
      </w:r>
      <w:r w:rsidR="00213E6B" w:rsidRPr="00521A4E">
        <w:rPr>
          <w:rFonts w:eastAsiaTheme="minorEastAsia" w:cs="Arial"/>
          <w:szCs w:val="20"/>
          <w:lang w:eastAsia="zh-CN"/>
        </w:rPr>
        <w:t>Considering H/S/NA definitions for TDM</w:t>
      </w:r>
      <w:r w:rsidR="00EE65D8" w:rsidRPr="00521A4E">
        <w:rPr>
          <w:rFonts w:eastAsiaTheme="minorEastAsia" w:cs="Arial"/>
          <w:szCs w:val="20"/>
          <w:lang w:eastAsia="zh-CN"/>
        </w:rPr>
        <w:t xml:space="preserve"> are valid for the whole BW</w:t>
      </w:r>
      <w:r w:rsidR="00213E6B" w:rsidRPr="00521A4E">
        <w:rPr>
          <w:rFonts w:eastAsiaTheme="minorEastAsia" w:cs="Arial"/>
          <w:szCs w:val="20"/>
          <w:lang w:eastAsia="zh-CN"/>
        </w:rPr>
        <w:t>, injecting an FDM H/S/NA configuration within the TDM H/S/NA configuration will violate the TDM H/S/NA definition and the interpretation of, e.g., a TDM Soft IA indication. That would require separate Rel-16 and Rel-17 TDM H/S/NA definitions</w:t>
      </w:r>
      <w:r w:rsidR="00EE65D8" w:rsidRPr="00521A4E">
        <w:rPr>
          <w:rFonts w:eastAsiaTheme="minorEastAsia" w:cs="Arial"/>
          <w:szCs w:val="20"/>
          <w:lang w:eastAsia="zh-CN"/>
        </w:rPr>
        <w:t xml:space="preserve"> and </w:t>
      </w:r>
      <w:r w:rsidR="00CF2F53" w:rsidRPr="00521A4E">
        <w:rPr>
          <w:rFonts w:eastAsiaTheme="minorEastAsia" w:cs="Arial"/>
          <w:szCs w:val="20"/>
          <w:lang w:eastAsia="zh-CN"/>
        </w:rPr>
        <w:t xml:space="preserve">thereby </w:t>
      </w:r>
      <w:r w:rsidR="0085702A" w:rsidRPr="00521A4E">
        <w:rPr>
          <w:rFonts w:eastAsiaTheme="minorEastAsia" w:cs="Arial"/>
          <w:szCs w:val="20"/>
          <w:lang w:eastAsia="zh-CN"/>
        </w:rPr>
        <w:t xml:space="preserve">increase </w:t>
      </w:r>
      <w:r w:rsidR="00CF2F53" w:rsidRPr="00521A4E">
        <w:rPr>
          <w:rFonts w:eastAsiaTheme="minorEastAsia" w:cs="Arial"/>
          <w:szCs w:val="20"/>
          <w:lang w:eastAsia="zh-CN"/>
        </w:rPr>
        <w:t>IAB</w:t>
      </w:r>
      <w:r w:rsidR="00F26AB2" w:rsidRPr="00521A4E">
        <w:rPr>
          <w:rFonts w:eastAsiaTheme="minorEastAsia" w:cs="Arial"/>
          <w:szCs w:val="20"/>
          <w:lang w:eastAsia="zh-CN"/>
        </w:rPr>
        <w:t xml:space="preserve"> </w:t>
      </w:r>
      <w:r w:rsidR="0085702A" w:rsidRPr="00521A4E">
        <w:rPr>
          <w:rFonts w:eastAsiaTheme="minorEastAsia" w:cs="Arial"/>
          <w:szCs w:val="20"/>
          <w:lang w:eastAsia="zh-CN"/>
        </w:rPr>
        <w:t>complexity</w:t>
      </w:r>
      <w:r w:rsidR="00F26AB2" w:rsidRPr="00521A4E">
        <w:rPr>
          <w:rFonts w:eastAsiaTheme="minorEastAsia" w:cs="Arial"/>
          <w:szCs w:val="20"/>
          <w:lang w:eastAsia="zh-CN"/>
        </w:rPr>
        <w:t>.</w:t>
      </w:r>
      <w:r w:rsidR="0085702A" w:rsidRPr="00521A4E">
        <w:rPr>
          <w:rFonts w:eastAsiaTheme="minorEastAsia" w:cs="Arial"/>
          <w:szCs w:val="20"/>
          <w:lang w:eastAsia="zh-CN"/>
        </w:rPr>
        <w:t xml:space="preserve"> </w:t>
      </w:r>
      <w:r w:rsidR="00CF2F53" w:rsidRPr="00521A4E">
        <w:rPr>
          <w:rFonts w:eastAsiaTheme="minorEastAsia" w:cs="Arial"/>
          <w:szCs w:val="20"/>
          <w:lang w:eastAsia="zh-CN"/>
        </w:rPr>
        <w:t xml:space="preserve">Since there are at </w:t>
      </w:r>
      <w:r w:rsidR="00931F9A" w:rsidRPr="00521A4E">
        <w:rPr>
          <w:rFonts w:eastAsiaTheme="minorEastAsia" w:cs="Arial"/>
          <w:szCs w:val="20"/>
          <w:lang w:eastAsia="zh-CN"/>
        </w:rPr>
        <w:t xml:space="preserve">least </w:t>
      </w:r>
      <w:r w:rsidR="00CF2F53" w:rsidRPr="00521A4E">
        <w:rPr>
          <w:rFonts w:eastAsiaTheme="minorEastAsia" w:cs="Arial"/>
          <w:szCs w:val="20"/>
          <w:lang w:eastAsia="zh-CN"/>
        </w:rPr>
        <w:t>equally good alternatives</w:t>
      </w:r>
      <w:r w:rsidR="00EC5AC3" w:rsidRPr="00521A4E">
        <w:rPr>
          <w:rFonts w:eastAsiaTheme="minorEastAsia" w:cs="Arial"/>
          <w:szCs w:val="20"/>
          <w:lang w:eastAsia="zh-CN"/>
        </w:rPr>
        <w:t>, based on</w:t>
      </w:r>
      <w:r w:rsidR="00B2582D" w:rsidRPr="00521A4E">
        <w:rPr>
          <w:rFonts w:eastAsiaTheme="minorEastAsia" w:cs="Arial"/>
          <w:szCs w:val="20"/>
          <w:lang w:eastAsia="zh-CN"/>
        </w:rPr>
        <w:t xml:space="preserve"> other considerations</w:t>
      </w:r>
      <w:r w:rsidR="00EC5AC3" w:rsidRPr="00521A4E">
        <w:rPr>
          <w:rFonts w:eastAsiaTheme="minorEastAsia" w:cs="Arial"/>
          <w:szCs w:val="20"/>
          <w:lang w:eastAsia="zh-CN"/>
        </w:rPr>
        <w:t>,</w:t>
      </w:r>
      <w:r w:rsidR="00CF2F53" w:rsidRPr="00521A4E">
        <w:rPr>
          <w:rFonts w:eastAsiaTheme="minorEastAsia" w:cs="Arial"/>
          <w:szCs w:val="20"/>
          <w:lang w:eastAsia="zh-CN"/>
        </w:rPr>
        <w:t xml:space="preserve"> there is no reason to </w:t>
      </w:r>
      <w:r w:rsidR="00F66315" w:rsidRPr="00521A4E">
        <w:rPr>
          <w:rFonts w:eastAsiaTheme="minorEastAsia" w:cs="Arial"/>
          <w:szCs w:val="20"/>
          <w:lang w:eastAsia="zh-CN"/>
        </w:rPr>
        <w:t xml:space="preserve">deviate from established practice and to </w:t>
      </w:r>
      <w:r w:rsidR="00106C25" w:rsidRPr="00521A4E">
        <w:rPr>
          <w:rFonts w:eastAsiaTheme="minorEastAsia" w:cs="Arial"/>
          <w:szCs w:val="20"/>
          <w:lang w:eastAsia="zh-CN"/>
        </w:rPr>
        <w:t>specify</w:t>
      </w:r>
      <w:r w:rsidR="00EC5AC3" w:rsidRPr="00521A4E">
        <w:rPr>
          <w:rFonts w:eastAsiaTheme="minorEastAsia" w:cs="Arial"/>
          <w:szCs w:val="20"/>
          <w:lang w:eastAsia="zh-CN"/>
        </w:rPr>
        <w:t xml:space="preserve"> separate Rel-16 and Rel-17 TDM H/S/NA </w:t>
      </w:r>
      <w:r w:rsidR="002F13A0" w:rsidRPr="00521A4E">
        <w:rPr>
          <w:rFonts w:eastAsiaTheme="minorEastAsia" w:cs="Arial"/>
          <w:szCs w:val="20"/>
          <w:lang w:eastAsia="zh-CN"/>
        </w:rPr>
        <w:t>definitions</w:t>
      </w:r>
      <w:r w:rsidR="00213E6B" w:rsidRPr="00521A4E">
        <w:rPr>
          <w:rFonts w:eastAsiaTheme="minorEastAsia" w:cs="Arial"/>
          <w:szCs w:val="20"/>
          <w:lang w:eastAsia="zh-CN"/>
        </w:rPr>
        <w:t>.</w:t>
      </w:r>
    </w:p>
    <w:p w14:paraId="020F933B" w14:textId="36904B9C" w:rsidR="00224184" w:rsidRPr="00521A4E" w:rsidRDefault="00224184" w:rsidP="00F364B7">
      <w:pPr>
        <w:pStyle w:val="Proposal"/>
        <w:tabs>
          <w:tab w:val="clear" w:pos="1872"/>
        </w:tabs>
        <w:ind w:left="1304"/>
        <w:rPr>
          <w:rFonts w:cs="Arial"/>
          <w:szCs w:val="20"/>
        </w:rPr>
      </w:pPr>
      <w:bookmarkStart w:id="110" w:name="_Toc87042238"/>
      <w:r w:rsidRPr="00521A4E">
        <w:rPr>
          <w:lang w:eastAsia="ja-JP"/>
        </w:rPr>
        <w:t>Confirm that working assumption that if both Rel-16 time 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bookmarkEnd w:id="110"/>
    </w:p>
    <w:p w14:paraId="55FB8024" w14:textId="13FDF370" w:rsidR="00BC21DD" w:rsidRPr="00521A4E" w:rsidRDefault="00356F62" w:rsidP="007E3B07">
      <w:pPr>
        <w:jc w:val="both"/>
      </w:pPr>
      <w:r w:rsidRPr="00521A4E">
        <w:t>Based on a given hardware capability, the IAB-MT and IAB-DU can conduct simultaneous transmission and/or reception, if the operational conditions at the parent node and</w:t>
      </w:r>
      <w:r w:rsidR="00955EBC" w:rsidRPr="00521A4E">
        <w:t>/or</w:t>
      </w:r>
      <w:r w:rsidRPr="00521A4E">
        <w:t xml:space="preserve"> the child node are fulfilled, as well as the conditions on the propagation channel and the network interference level. </w:t>
      </w:r>
      <w:r w:rsidR="00BC21DD" w:rsidRPr="00521A4E">
        <w:t xml:space="preserve">The parent node can be provided with the multiplexing capability information, which has been indicated to the IAB-donor-CU. If the parent node has the information of all H/S/NA configurations that have been provided to the IAB-DU, the parent node can also have a good understanding of which configuration the IAB-node is using, and thereby make </w:t>
      </w:r>
      <w:r w:rsidR="007B3399" w:rsidRPr="00521A4E">
        <w:t xml:space="preserve">an </w:t>
      </w:r>
      <w:r w:rsidR="00BC21DD" w:rsidRPr="00521A4E">
        <w:t>appropriate assumption about the resource availability at the IAB-MT. However, the ability to exploit the multiplexing capability of the IAB-node may change due to local circumstances, such as changes of propagation channel, fulfilment of simultaneous operation criteria, etc., in a dynamic way. Losing track of such change may lead to inappropriate scheduling decision at the parent node, which will cause resource wastage or situations with additional interference for the IAB-node.</w:t>
      </w:r>
    </w:p>
    <w:p w14:paraId="2C6FBDDF" w14:textId="1FE5AE31" w:rsidR="00BC21DD" w:rsidRPr="00521A4E" w:rsidRDefault="00BC21DD" w:rsidP="007E3B07">
      <w:pPr>
        <w:jc w:val="both"/>
      </w:pPr>
      <w:r w:rsidRPr="00521A4E">
        <w:t xml:space="preserve">After receiving the semi-static configuration from the donor-CU, the IAB-node should initialize the exchange of the operational parameters for simultaneous operation with its parent node and child node. In the RAN1#105e meeting </w:t>
      </w:r>
      <w:r w:rsidRPr="00521A4E">
        <w:fldChar w:fldCharType="begin"/>
      </w:r>
      <w:r w:rsidRPr="00521A4E">
        <w:instrText xml:space="preserve"> REF _Ref83892045 \r \h  \* MERGEFORMAT </w:instrText>
      </w:r>
      <w:r w:rsidRPr="00521A4E">
        <w:fldChar w:fldCharType="separate"/>
      </w:r>
      <w:r w:rsidR="00F201E9">
        <w:t>[10]</w:t>
      </w:r>
      <w:r w:rsidRPr="00521A4E">
        <w:fldChar w:fldCharType="end"/>
      </w:r>
      <w:r w:rsidRPr="00521A4E">
        <w:t>, it was agreed that the parent IAB-node is dynamically provided with condition/parameters to facilitate adaptation between multiplexing operation mode</w:t>
      </w:r>
      <w:r w:rsidR="007B3399" w:rsidRPr="00521A4E">
        <w:t>s</w:t>
      </w:r>
      <w:r w:rsidRPr="00521A4E">
        <w:t xml:space="preserve">. </w:t>
      </w:r>
      <w:r w:rsidR="007B3399" w:rsidRPr="00521A4E">
        <w:t>M</w:t>
      </w:r>
      <w:r w:rsidRPr="00521A4E">
        <w:t xml:space="preserve">ultiplexing condition signaling can be used for an IAB-node to inform the parent node about the conditions it requires </w:t>
      </w:r>
      <w:r w:rsidR="00DC7E4A" w:rsidRPr="00521A4E">
        <w:t>regarding</w:t>
      </w:r>
      <w:r w:rsidRPr="00521A4E">
        <w:t xml:space="preserve">, e.g., timing modes, </w:t>
      </w:r>
      <w:r w:rsidR="00DC7E4A" w:rsidRPr="00521A4E">
        <w:t xml:space="preserve">UL/DL </w:t>
      </w:r>
      <w:r w:rsidRPr="00521A4E">
        <w:t xml:space="preserve">power </w:t>
      </w:r>
      <w:r w:rsidR="00E16F11" w:rsidRPr="00521A4E">
        <w:t>levels</w:t>
      </w:r>
      <w:r w:rsidRPr="00521A4E">
        <w:t xml:space="preserve"> and beam indication, for each simultaneous operation mode. In case of simultaneous MT TX/DU TX, the IAB-node can report to the parent node about the multiplexing conditions </w:t>
      </w:r>
      <w:r w:rsidR="00AE5D70" w:rsidRPr="00521A4E">
        <w:t>and</w:t>
      </w:r>
      <w:r w:rsidRPr="00521A4E">
        <w:t xml:space="preserve"> whether it requires 1) Case 6 timing, 2) Parent node indication of restricted IAB-DU beams, and 3) IAB-node indication to parent node to support its MT’s UL TX power control. Similarly, in case of simultaneous MT RX/DU RX, the IAB-node can report to the parent node about the multiplexing conditions on whether it requires or supports 1) Case 7 timing, </w:t>
      </w:r>
      <w:bookmarkStart w:id="111" w:name="_Hlk86913814"/>
      <w:r w:rsidR="00A34744" w:rsidRPr="00521A4E">
        <w:t>2) parent node in Case 7 timing, 3) IAB-node indication of recommended IAB-MT beams to parent node, and 4) IAB-node indication to support parent node DL power control.</w:t>
      </w:r>
      <w:bookmarkEnd w:id="111"/>
    </w:p>
    <w:p w14:paraId="55D3D0DA" w14:textId="7DED2266" w:rsidR="00BC21DD" w:rsidRPr="00521A4E" w:rsidRDefault="00BC21DD" w:rsidP="00F364B7">
      <w:pPr>
        <w:pStyle w:val="Proposal"/>
        <w:tabs>
          <w:tab w:val="clear" w:pos="1872"/>
        </w:tabs>
        <w:ind w:left="1304"/>
        <w:rPr>
          <w:lang w:eastAsia="ja-JP"/>
        </w:rPr>
      </w:pPr>
      <w:bookmarkStart w:id="112" w:name="_Toc87042239"/>
      <w:r w:rsidRPr="00521A4E">
        <w:rPr>
          <w:lang w:eastAsia="ja-JP"/>
        </w:rPr>
        <w:t xml:space="preserve">The IAB-node may report to the parent node a set of multiplexing conditions on the required timing mode, power </w:t>
      </w:r>
      <w:r w:rsidR="00E16F11" w:rsidRPr="00521A4E">
        <w:rPr>
          <w:lang w:eastAsia="ja-JP"/>
        </w:rPr>
        <w:t>levels</w:t>
      </w:r>
      <w:r w:rsidR="002C20AF" w:rsidRPr="00521A4E">
        <w:rPr>
          <w:lang w:eastAsia="ja-JP"/>
        </w:rPr>
        <w:t xml:space="preserve"> and</w:t>
      </w:r>
      <w:r w:rsidRPr="00521A4E">
        <w:rPr>
          <w:lang w:eastAsia="ja-JP"/>
        </w:rPr>
        <w:t xml:space="preserve"> beam indication</w:t>
      </w:r>
      <w:r w:rsidR="00E16F11" w:rsidRPr="00521A4E">
        <w:rPr>
          <w:lang w:eastAsia="ja-JP"/>
        </w:rPr>
        <w:t>:</w:t>
      </w:r>
      <w:bookmarkEnd w:id="112"/>
      <w:r w:rsidRPr="00521A4E">
        <w:rPr>
          <w:lang w:eastAsia="ja-JP"/>
        </w:rPr>
        <w:t xml:space="preserve"> </w:t>
      </w:r>
    </w:p>
    <w:p w14:paraId="3A0027EB" w14:textId="29CA821E" w:rsidR="00BC21DD" w:rsidRPr="00521A4E" w:rsidRDefault="00BC21DD" w:rsidP="00F364B7">
      <w:pPr>
        <w:pStyle w:val="Proposal"/>
        <w:numPr>
          <w:ilvl w:val="0"/>
          <w:numId w:val="17"/>
        </w:numPr>
        <w:spacing w:after="0"/>
      </w:pPr>
      <w:bookmarkStart w:id="113" w:name="_Toc87042240"/>
      <w:r w:rsidRPr="00521A4E">
        <w:t>For simultaneous MT-TX/DU-TX, the multiplexing conditions include whether the IAB-node requires:</w:t>
      </w:r>
      <w:bookmarkEnd w:id="113"/>
    </w:p>
    <w:p w14:paraId="33082B5A" w14:textId="29D4E8E8" w:rsidR="00BC21DD" w:rsidRPr="00521A4E" w:rsidRDefault="00BC21DD" w:rsidP="007E3B07">
      <w:pPr>
        <w:pStyle w:val="Proposal"/>
        <w:numPr>
          <w:ilvl w:val="1"/>
          <w:numId w:val="17"/>
        </w:numPr>
        <w:spacing w:after="0"/>
      </w:pPr>
      <w:bookmarkStart w:id="114" w:name="_Toc87042241"/>
      <w:r w:rsidRPr="00521A4E">
        <w:t>Case-6 timing</w:t>
      </w:r>
      <w:bookmarkEnd w:id="114"/>
    </w:p>
    <w:p w14:paraId="5B73F263" w14:textId="3B6E645D" w:rsidR="00BC21DD" w:rsidRPr="00521A4E" w:rsidRDefault="00BC21DD" w:rsidP="007E3B07">
      <w:pPr>
        <w:pStyle w:val="Proposal"/>
        <w:numPr>
          <w:ilvl w:val="1"/>
          <w:numId w:val="17"/>
        </w:numPr>
        <w:spacing w:after="0"/>
      </w:pPr>
      <w:bookmarkStart w:id="115" w:name="_Toc87042242"/>
      <w:r w:rsidRPr="00521A4E">
        <w:t>Parent node indication of restricted IAB-DU beams</w:t>
      </w:r>
      <w:bookmarkEnd w:id="115"/>
      <w:r w:rsidRPr="00521A4E">
        <w:t xml:space="preserve"> </w:t>
      </w:r>
    </w:p>
    <w:p w14:paraId="0A269FE0" w14:textId="0D4D9C5E" w:rsidR="00BC21DD" w:rsidRPr="00521A4E" w:rsidRDefault="00BC21DD" w:rsidP="00F364B7">
      <w:pPr>
        <w:pStyle w:val="Proposal"/>
        <w:numPr>
          <w:ilvl w:val="1"/>
          <w:numId w:val="17"/>
        </w:numPr>
      </w:pPr>
      <w:bookmarkStart w:id="116" w:name="_Toc87042243"/>
      <w:r w:rsidRPr="00521A4E">
        <w:t xml:space="preserve">IAB-node indication to its parent node on its MT’s </w:t>
      </w:r>
      <w:r w:rsidR="00E16F11" w:rsidRPr="00521A4E">
        <w:t xml:space="preserve">minimum </w:t>
      </w:r>
      <w:r w:rsidRPr="00521A4E">
        <w:t xml:space="preserve">UL TX power </w:t>
      </w:r>
      <w:r w:rsidR="00E16F11" w:rsidRPr="00521A4E">
        <w:t>level</w:t>
      </w:r>
      <w:bookmarkEnd w:id="116"/>
    </w:p>
    <w:p w14:paraId="06D01B09" w14:textId="022224DA" w:rsidR="00BC21DD" w:rsidRPr="00521A4E" w:rsidRDefault="00BC21DD" w:rsidP="00F364B7">
      <w:pPr>
        <w:pStyle w:val="Proposal"/>
        <w:numPr>
          <w:ilvl w:val="0"/>
          <w:numId w:val="17"/>
        </w:numPr>
        <w:spacing w:after="0"/>
      </w:pPr>
      <w:bookmarkStart w:id="117" w:name="_Toc87042244"/>
      <w:r w:rsidRPr="00521A4E">
        <w:t>For simultaneous MT RX/DU RX, the multiplexing conditions include whether the IAB-node:</w:t>
      </w:r>
      <w:bookmarkEnd w:id="117"/>
    </w:p>
    <w:p w14:paraId="7932FE7A" w14:textId="2FE773A8" w:rsidR="00161943" w:rsidRPr="00521A4E" w:rsidRDefault="00BC21DD" w:rsidP="007E3B07">
      <w:pPr>
        <w:pStyle w:val="Proposal"/>
        <w:numPr>
          <w:ilvl w:val="1"/>
          <w:numId w:val="17"/>
        </w:numPr>
        <w:spacing w:after="0"/>
      </w:pPr>
      <w:bookmarkStart w:id="118" w:name="_Toc87042245"/>
      <w:r w:rsidRPr="00521A4E">
        <w:t xml:space="preserve">Supports </w:t>
      </w:r>
      <w:r w:rsidR="00161943" w:rsidRPr="00521A4E">
        <w:t xml:space="preserve">adjustment of child node UL TX timing in </w:t>
      </w:r>
      <w:r w:rsidRPr="00521A4E">
        <w:t>Case-7 timing</w:t>
      </w:r>
      <w:bookmarkEnd w:id="118"/>
    </w:p>
    <w:p w14:paraId="78A9E6C2" w14:textId="38AC9001" w:rsidR="00BC21DD" w:rsidRPr="00521A4E" w:rsidRDefault="00161943" w:rsidP="007E3B07">
      <w:pPr>
        <w:pStyle w:val="Proposal"/>
        <w:numPr>
          <w:ilvl w:val="1"/>
          <w:numId w:val="17"/>
        </w:numPr>
        <w:spacing w:after="0"/>
      </w:pPr>
      <w:bookmarkStart w:id="119" w:name="_Toc87042246"/>
      <w:r w:rsidRPr="00521A4E">
        <w:t>Supports adjustment of UL TX timing for parent node in Case-7 timing</w:t>
      </w:r>
      <w:bookmarkEnd w:id="119"/>
    </w:p>
    <w:p w14:paraId="29068D0D" w14:textId="30A262B2" w:rsidR="00BC21DD" w:rsidRPr="00521A4E" w:rsidRDefault="00BC21DD" w:rsidP="007E3B07">
      <w:pPr>
        <w:pStyle w:val="Proposal"/>
        <w:numPr>
          <w:ilvl w:val="1"/>
          <w:numId w:val="17"/>
        </w:numPr>
        <w:spacing w:after="0"/>
      </w:pPr>
      <w:bookmarkStart w:id="120" w:name="_Toc87042247"/>
      <w:r w:rsidRPr="00521A4E">
        <w:t>Requires IAB-node indication of recommended IAB-MT beams</w:t>
      </w:r>
      <w:bookmarkEnd w:id="120"/>
    </w:p>
    <w:p w14:paraId="7B5DE6D6" w14:textId="7574789E" w:rsidR="00BC21DD" w:rsidRPr="00521A4E" w:rsidRDefault="00BC21DD" w:rsidP="007E3B07">
      <w:pPr>
        <w:pStyle w:val="Proposal"/>
        <w:numPr>
          <w:ilvl w:val="1"/>
          <w:numId w:val="17"/>
        </w:numPr>
        <w:spacing w:after="0"/>
      </w:pPr>
      <w:bookmarkStart w:id="121" w:name="_Toc87042248"/>
      <w:r w:rsidRPr="00521A4E">
        <w:t xml:space="preserve">Requires IAB-node indication to support parent node </w:t>
      </w:r>
      <w:r w:rsidR="00E16F11" w:rsidRPr="00521A4E">
        <w:t xml:space="preserve">maximum </w:t>
      </w:r>
      <w:r w:rsidRPr="00521A4E">
        <w:t xml:space="preserve">DL power </w:t>
      </w:r>
      <w:r w:rsidR="00E16F11" w:rsidRPr="00521A4E">
        <w:t>level</w:t>
      </w:r>
      <w:bookmarkEnd w:id="121"/>
    </w:p>
    <w:p w14:paraId="1A16B8CD" w14:textId="77777777" w:rsidR="00887D9C" w:rsidRPr="00521A4E" w:rsidRDefault="00887D9C" w:rsidP="007E3B07">
      <w:pPr>
        <w:pStyle w:val="Proposal"/>
        <w:numPr>
          <w:ilvl w:val="0"/>
          <w:numId w:val="0"/>
        </w:numPr>
        <w:spacing w:after="0"/>
        <w:ind w:left="2384"/>
      </w:pPr>
    </w:p>
    <w:p w14:paraId="5C6DAC02" w14:textId="77777777" w:rsidR="00BC21DD" w:rsidRPr="00521A4E" w:rsidRDefault="00BC21DD" w:rsidP="007E3B07">
      <w:pPr>
        <w:jc w:val="both"/>
      </w:pPr>
      <w:r w:rsidRPr="00521A4E">
        <w:t>In an operational network, it may happen that the required Case-6 and Case-7 timing operation cannot always be fulfilled by the parent node(s) and/or child node(s) under certain circumstances. In this case, the IAB-MT and IAB-DU can be limited to operate in a TDM manner. Without knowing the dynamic conditions or abilities of the IAB-node, the parent node may still schedule transmission from/to the IAB-MT which cannot be carried out by the IAB-node due to the operation at the IAB-DU using overlapping time and/or frequency resource. Therefore, it is beneficial to inform the parent node about the multiplexing-ability changes at the IAB-node. To facilitate adaptation between multiplexing operation modes, some conditions/parameters (e.g., guard symbols) do not necessarily need to be signaled as frequently as the multiplexing ability, and some conditions/parameters (e.g., timing modes) may need to be signaled more frequently than the multiplexing ability. Therefore, it is reasonable to provide the diverse conditions/parameters separately from the multiplexing ability reporting.</w:t>
      </w:r>
    </w:p>
    <w:p w14:paraId="766CA3C3" w14:textId="1C27AFFA" w:rsidR="00BC21DD" w:rsidRPr="00521A4E" w:rsidRDefault="00BC21DD" w:rsidP="00F364B7">
      <w:pPr>
        <w:pStyle w:val="Proposal"/>
        <w:tabs>
          <w:tab w:val="clear" w:pos="1872"/>
        </w:tabs>
        <w:ind w:left="1304"/>
        <w:rPr>
          <w:lang w:eastAsia="ja-JP"/>
        </w:rPr>
      </w:pPr>
      <w:bookmarkStart w:id="122" w:name="_Toc75943629"/>
      <w:bookmarkStart w:id="123" w:name="_Toc76035061"/>
      <w:bookmarkStart w:id="124" w:name="_Toc76043318"/>
      <w:bookmarkStart w:id="125" w:name="_Toc76043409"/>
      <w:bookmarkStart w:id="126" w:name="_Toc76043319"/>
      <w:bookmarkStart w:id="127" w:name="_Toc76043410"/>
      <w:bookmarkStart w:id="128" w:name="_Toc71663401"/>
      <w:bookmarkStart w:id="129" w:name="_Toc87042249"/>
      <w:bookmarkEnd w:id="122"/>
      <w:bookmarkEnd w:id="123"/>
      <w:bookmarkEnd w:id="124"/>
      <w:bookmarkEnd w:id="125"/>
      <w:bookmarkEnd w:id="126"/>
      <w:bookmarkEnd w:id="127"/>
      <w:r w:rsidRPr="00521A4E">
        <w:rPr>
          <w:lang w:eastAsia="ja-JP"/>
        </w:rPr>
        <w:t xml:space="preserve">Whether or not to switch to FDM/SDM should be based on </w:t>
      </w:r>
      <w:r w:rsidR="00C70C05" w:rsidRPr="00521A4E">
        <w:rPr>
          <w:lang w:eastAsia="ja-JP"/>
        </w:rPr>
        <w:t>the explicit or implicit ACK</w:t>
      </w:r>
      <w:r w:rsidRPr="00521A4E">
        <w:rPr>
          <w:lang w:eastAsia="ja-JP"/>
        </w:rPr>
        <w:t>/NACK response from the parent IAB-node.</w:t>
      </w:r>
      <w:bookmarkEnd w:id="128"/>
      <w:bookmarkEnd w:id="129"/>
    </w:p>
    <w:p w14:paraId="40D36447" w14:textId="1F8286BA" w:rsidR="00BC21DD" w:rsidRPr="00521A4E" w:rsidRDefault="00BC21DD" w:rsidP="007E3B07">
      <w:pPr>
        <w:jc w:val="both"/>
        <w:rPr>
          <w:rFonts w:cs="Arial"/>
          <w:szCs w:val="20"/>
        </w:rPr>
      </w:pPr>
      <w:r w:rsidRPr="00521A4E">
        <w:rPr>
          <w:rFonts w:cs="Arial"/>
          <w:szCs w:val="20"/>
        </w:rPr>
        <w:t>When the conditions for simultaneous transmission or reception temporarily fail, the IAB-node should fall back and operate in a TDM mode smoothly, without causing radio link failure. An ACK response from the parent IAB-node is therefore not required when a fallback to TDM occurs.</w:t>
      </w:r>
      <w:r w:rsidR="00F93A97" w:rsidRPr="00521A4E">
        <w:rPr>
          <w:rFonts w:cs="Arial"/>
          <w:szCs w:val="20"/>
        </w:rPr>
        <w:t xml:space="preserve"> For a dynamic fallback request, the signaling can be MAC-CE based or UCI-based:</w:t>
      </w:r>
    </w:p>
    <w:p w14:paraId="6647E585" w14:textId="40921A18" w:rsidR="00C70C05" w:rsidRPr="00521A4E" w:rsidRDefault="00C70C05" w:rsidP="00F364B7">
      <w:pPr>
        <w:pStyle w:val="Proposal"/>
        <w:tabs>
          <w:tab w:val="clear" w:pos="1872"/>
        </w:tabs>
        <w:ind w:left="1304"/>
        <w:rPr>
          <w:lang w:eastAsia="ja-JP"/>
        </w:rPr>
      </w:pPr>
      <w:bookmarkStart w:id="130" w:name="_Toc87042250"/>
      <w:r w:rsidRPr="00521A4E">
        <w:rPr>
          <w:lang w:eastAsia="ja-JP"/>
        </w:rPr>
        <w:t>RAN1 selects the following two signaling alternatives for the fallback request</w:t>
      </w:r>
      <w:r w:rsidR="0056149A" w:rsidRPr="00521A4E">
        <w:rPr>
          <w:lang w:eastAsia="ja-JP"/>
        </w:rPr>
        <w:t xml:space="preserve"> to TDM operation mode</w:t>
      </w:r>
      <w:r w:rsidRPr="00521A4E">
        <w:rPr>
          <w:lang w:eastAsia="ja-JP"/>
        </w:rPr>
        <w:t>:</w:t>
      </w:r>
      <w:bookmarkEnd w:id="130"/>
    </w:p>
    <w:p w14:paraId="644FA09D" w14:textId="5B78C5B9" w:rsidR="00C70C05" w:rsidRPr="00521A4E" w:rsidRDefault="00C70C05" w:rsidP="00F364B7">
      <w:pPr>
        <w:pStyle w:val="Proposal"/>
        <w:numPr>
          <w:ilvl w:val="0"/>
          <w:numId w:val="0"/>
        </w:numPr>
        <w:ind w:left="1304"/>
      </w:pPr>
      <w:bookmarkStart w:id="131" w:name="_Toc87042251"/>
      <w:r w:rsidRPr="00521A4E">
        <w:t>Alt1: UCI-based</w:t>
      </w:r>
      <w:bookmarkEnd w:id="131"/>
    </w:p>
    <w:p w14:paraId="43464324" w14:textId="17C6DBB1" w:rsidR="00C70C05" w:rsidRPr="00521A4E" w:rsidRDefault="00C70C05" w:rsidP="00F364B7">
      <w:pPr>
        <w:pStyle w:val="Proposal"/>
        <w:numPr>
          <w:ilvl w:val="0"/>
          <w:numId w:val="0"/>
        </w:numPr>
        <w:ind w:left="1304"/>
      </w:pPr>
      <w:bookmarkStart w:id="132" w:name="_Toc87042252"/>
      <w:r w:rsidRPr="00521A4E">
        <w:t>Alt2: MAC-CE based</w:t>
      </w:r>
      <w:bookmarkEnd w:id="132"/>
    </w:p>
    <w:p w14:paraId="78CFC73A" w14:textId="142ACF95" w:rsidR="00BC21DD" w:rsidRPr="00521A4E" w:rsidRDefault="00BC21DD" w:rsidP="00F364B7">
      <w:pPr>
        <w:pStyle w:val="Proposal"/>
        <w:tabs>
          <w:tab w:val="clear" w:pos="1872"/>
        </w:tabs>
        <w:ind w:left="1304"/>
      </w:pPr>
      <w:bookmarkStart w:id="133" w:name="_Toc87042253"/>
      <w:r w:rsidRPr="00521A4E">
        <w:rPr>
          <w:lang w:eastAsia="ja-JP"/>
        </w:rPr>
        <w:t>Fallback to TDM does not need an ACK response from the parent IAB-node.</w:t>
      </w:r>
      <w:bookmarkEnd w:id="133"/>
    </w:p>
    <w:p w14:paraId="72204B3B" w14:textId="12952FD9" w:rsidR="009A6063" w:rsidRPr="00521A4E" w:rsidRDefault="009A6063" w:rsidP="007E3B07">
      <w:pPr>
        <w:pStyle w:val="Heading3"/>
        <w:jc w:val="both"/>
        <w:rPr>
          <w:lang w:val="en-US"/>
        </w:rPr>
      </w:pPr>
      <w:r w:rsidRPr="00521A4E">
        <w:rPr>
          <w:lang w:val="en-US"/>
        </w:rPr>
        <w:t>DCI 2_5 for frequency-domain Soft resource</w:t>
      </w:r>
    </w:p>
    <w:p w14:paraId="7204CF88" w14:textId="5A120F5C" w:rsidR="00080344" w:rsidRPr="00521A4E" w:rsidRDefault="00080344" w:rsidP="007E3B07">
      <w:pPr>
        <w:jc w:val="both"/>
        <w:rPr>
          <w:lang w:eastAsia="ja-JP"/>
        </w:rPr>
      </w:pPr>
      <w:r w:rsidRPr="00521A4E">
        <w:rPr>
          <w:lang w:eastAsia="ja-JP"/>
        </w:rPr>
        <w:t>In RAN1#106</w:t>
      </w:r>
      <w:r w:rsidR="000F4F50" w:rsidRPr="00521A4E">
        <w:rPr>
          <w:lang w:eastAsia="ja-JP"/>
        </w:rPr>
        <w:t>bis-e</w:t>
      </w:r>
      <w:r w:rsidRPr="00521A4E">
        <w:rPr>
          <w:lang w:eastAsia="ja-JP"/>
        </w:rPr>
        <w:t>, the following agreement was made regarding DCI format 2_5</w:t>
      </w:r>
      <w:r w:rsidR="000F4F50" w:rsidRPr="00521A4E">
        <w:rPr>
          <w:lang w:eastAsia="ja-JP"/>
        </w:rPr>
        <w:t xml:space="preserve"> </w:t>
      </w:r>
      <w:r w:rsidR="000F4F50" w:rsidRPr="00521A4E">
        <w:rPr>
          <w:lang w:eastAsia="ja-JP"/>
        </w:rPr>
        <w:fldChar w:fldCharType="begin"/>
      </w:r>
      <w:r w:rsidR="000F4F50" w:rsidRPr="00521A4E">
        <w:rPr>
          <w:lang w:eastAsia="ja-JP"/>
        </w:rPr>
        <w:instrText xml:space="preserve"> REF _Ref85313944 \r \h </w:instrText>
      </w:r>
      <w:r w:rsidR="000F4F50" w:rsidRPr="00521A4E">
        <w:rPr>
          <w:lang w:eastAsia="ja-JP"/>
        </w:rPr>
      </w:r>
      <w:r w:rsidR="007E3B07" w:rsidRPr="00521A4E">
        <w:rPr>
          <w:lang w:eastAsia="ja-JP"/>
        </w:rPr>
        <w:instrText xml:space="preserve"> \* MERGEFORMAT </w:instrText>
      </w:r>
      <w:r w:rsidR="000F4F50" w:rsidRPr="00521A4E">
        <w:rPr>
          <w:lang w:eastAsia="ja-JP"/>
        </w:rPr>
        <w:fldChar w:fldCharType="separate"/>
      </w:r>
      <w:r w:rsidR="00F201E9">
        <w:rPr>
          <w:lang w:eastAsia="ja-JP"/>
        </w:rPr>
        <w:t>[4]</w:t>
      </w:r>
      <w:r w:rsidR="000F4F50" w:rsidRPr="00521A4E">
        <w:rPr>
          <w:lang w:eastAsia="ja-JP"/>
        </w:rPr>
        <w:fldChar w:fldCharType="end"/>
      </w:r>
      <w:r w:rsidRPr="00521A4E">
        <w:rPr>
          <w:lang w:eastAsia="ja-JP"/>
        </w:rPr>
        <w:t>:</w:t>
      </w:r>
    </w:p>
    <w:tbl>
      <w:tblPr>
        <w:tblStyle w:val="TableGrid"/>
        <w:tblW w:w="0" w:type="auto"/>
        <w:tblLook w:val="04A0" w:firstRow="1" w:lastRow="0" w:firstColumn="1" w:lastColumn="0" w:noHBand="0" w:noVBand="1"/>
      </w:tblPr>
      <w:tblGrid>
        <w:gridCol w:w="9629"/>
      </w:tblGrid>
      <w:tr w:rsidR="00080344" w:rsidRPr="00521A4E" w14:paraId="56BB564C" w14:textId="77777777" w:rsidTr="00080344">
        <w:tc>
          <w:tcPr>
            <w:tcW w:w="9629" w:type="dxa"/>
          </w:tcPr>
          <w:p w14:paraId="6BEA8B08" w14:textId="1772987E" w:rsidR="00080344" w:rsidRPr="00521A4E" w:rsidRDefault="00080344" w:rsidP="007E3B07">
            <w:pPr>
              <w:jc w:val="both"/>
              <w:rPr>
                <w:rFonts w:eastAsia="SimSun" w:cs="Arial"/>
                <w:b/>
                <w:sz w:val="20"/>
                <w:szCs w:val="20"/>
                <w:lang w:eastAsia="zh-CN"/>
              </w:rPr>
            </w:pPr>
            <w:r w:rsidRPr="00521A4E">
              <w:rPr>
                <w:rFonts w:cs="Arial"/>
                <w:b/>
                <w:sz w:val="20"/>
                <w:szCs w:val="20"/>
                <w:highlight w:val="green"/>
                <w:lang w:eastAsia="zh-CN"/>
              </w:rPr>
              <w:t>Agreement</w:t>
            </w:r>
          </w:p>
          <w:p w14:paraId="098E1BE1" w14:textId="77777777" w:rsidR="001E789E" w:rsidRPr="00521A4E" w:rsidRDefault="001E789E" w:rsidP="007E3B07">
            <w:pPr>
              <w:spacing w:before="120" w:after="100" w:afterAutospacing="1"/>
              <w:jc w:val="both"/>
              <w:rPr>
                <w:sz w:val="20"/>
                <w:szCs w:val="18"/>
              </w:rPr>
            </w:pPr>
            <w:r w:rsidRPr="00521A4E">
              <w:rPr>
                <w:sz w:val="20"/>
                <w:szCs w:val="18"/>
              </w:rPr>
              <w:t>A single DCI format 2_5 can be received indicating availability for the soft resources of the respective RB sets corresponding to a given time resource of the child IAB-DU cell.</w:t>
            </w:r>
          </w:p>
          <w:p w14:paraId="2BD03CD7" w14:textId="77777777" w:rsidR="001E789E" w:rsidRPr="00521A4E" w:rsidRDefault="001E789E" w:rsidP="007E3B07">
            <w:pPr>
              <w:numPr>
                <w:ilvl w:val="0"/>
                <w:numId w:val="24"/>
              </w:numPr>
              <w:tabs>
                <w:tab w:val="left" w:pos="720"/>
              </w:tabs>
              <w:spacing w:before="120" w:after="100" w:afterAutospacing="1"/>
              <w:jc w:val="both"/>
              <w:rPr>
                <w:sz w:val="20"/>
                <w:szCs w:val="18"/>
              </w:rPr>
            </w:pPr>
            <w:r w:rsidRPr="00521A4E">
              <w:rPr>
                <w:sz w:val="20"/>
                <w:szCs w:val="18"/>
              </w:rPr>
              <w:t>FFS: Extension of </w:t>
            </w:r>
            <w:r w:rsidRPr="00521A4E">
              <w:rPr>
                <w:i/>
                <w:iCs/>
                <w:sz w:val="20"/>
                <w:szCs w:val="18"/>
              </w:rPr>
              <w:t>AvailabiltyCombination</w:t>
            </w:r>
            <w:r w:rsidRPr="00521A4E">
              <w:rPr>
                <w:sz w:val="20"/>
                <w:szCs w:val="18"/>
              </w:rPr>
              <w:t> to include multiple RB sets in a </w:t>
            </w:r>
            <w:r w:rsidRPr="00521A4E">
              <w:rPr>
                <w:i/>
                <w:iCs/>
                <w:sz w:val="20"/>
                <w:szCs w:val="18"/>
              </w:rPr>
              <w:t>resourceAvailabilty</w:t>
            </w:r>
            <w:r w:rsidRPr="00521A4E">
              <w:rPr>
                <w:sz w:val="20"/>
                <w:szCs w:val="18"/>
              </w:rPr>
              <w:t>indication</w:t>
            </w:r>
          </w:p>
          <w:p w14:paraId="6EBABD20" w14:textId="77777777" w:rsidR="001E789E" w:rsidRPr="00521A4E" w:rsidRDefault="001E789E" w:rsidP="007E3B07">
            <w:pPr>
              <w:numPr>
                <w:ilvl w:val="0"/>
                <w:numId w:val="24"/>
              </w:numPr>
              <w:tabs>
                <w:tab w:val="left" w:pos="720"/>
              </w:tabs>
              <w:spacing w:before="120" w:after="100" w:afterAutospacing="1"/>
              <w:jc w:val="both"/>
              <w:rPr>
                <w:sz w:val="20"/>
                <w:szCs w:val="18"/>
              </w:rPr>
            </w:pPr>
            <w:r w:rsidRPr="00521A4E">
              <w:rPr>
                <w:sz w:val="20"/>
                <w:szCs w:val="18"/>
              </w:rPr>
              <w:t>FFS: Update</w:t>
            </w:r>
            <w:r w:rsidRPr="00521A4E">
              <w:rPr>
                <w:i/>
                <w:iCs/>
                <w:sz w:val="20"/>
                <w:szCs w:val="18"/>
              </w:rPr>
              <w:t> resourceAvailability</w:t>
            </w:r>
            <w:r w:rsidRPr="00521A4E">
              <w:rPr>
                <w:sz w:val="20"/>
                <w:szCs w:val="18"/>
              </w:rPr>
              <w:t> mapping table defined in TS38.213 so that the indication of availability can be applied over soft resources in frequency-domain for DL or UL or Flexible symbols.</w:t>
            </w:r>
          </w:p>
          <w:p w14:paraId="790883F5" w14:textId="286439CA" w:rsidR="00080344" w:rsidRPr="00F364B7" w:rsidRDefault="001E789E" w:rsidP="00F364B7">
            <w:pPr>
              <w:numPr>
                <w:ilvl w:val="0"/>
                <w:numId w:val="24"/>
              </w:numPr>
              <w:tabs>
                <w:tab w:val="left" w:pos="720"/>
              </w:tabs>
              <w:spacing w:before="120" w:after="100" w:afterAutospacing="1"/>
              <w:jc w:val="both"/>
              <w:rPr>
                <w:rFonts w:cs="Times"/>
                <w:szCs w:val="20"/>
                <w:lang w:eastAsia="zh-CN"/>
              </w:rPr>
            </w:pPr>
            <w:r w:rsidRPr="00521A4E">
              <w:rPr>
                <w:sz w:val="20"/>
                <w:szCs w:val="18"/>
              </w:rPr>
              <w:t>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tc>
      </w:tr>
    </w:tbl>
    <w:p w14:paraId="5E562769" w14:textId="42D8E47E" w:rsidR="00164520" w:rsidRPr="00521A4E" w:rsidRDefault="009A6063" w:rsidP="007E3B07">
      <w:pPr>
        <w:spacing w:before="240"/>
        <w:jc w:val="both"/>
        <w:rPr>
          <w:rFonts w:cs="Arial"/>
          <w:szCs w:val="20"/>
        </w:rPr>
      </w:pPr>
      <w:r w:rsidRPr="00521A4E">
        <w:rPr>
          <w:rFonts w:cs="Arial"/>
          <w:szCs w:val="20"/>
        </w:rPr>
        <w:t>As motivated in Section</w:t>
      </w:r>
      <w:r w:rsidR="00F35E2E" w:rsidRPr="00521A4E">
        <w:rPr>
          <w:rFonts w:cs="Arial"/>
          <w:szCs w:val="20"/>
        </w:rPr>
        <w:t xml:space="preserve"> </w:t>
      </w:r>
      <w:r w:rsidR="00F35E2E" w:rsidRPr="00521A4E">
        <w:rPr>
          <w:rFonts w:cs="Arial"/>
          <w:szCs w:val="20"/>
        </w:rPr>
        <w:fldChar w:fldCharType="begin"/>
      </w:r>
      <w:r w:rsidR="00F35E2E" w:rsidRPr="00521A4E">
        <w:rPr>
          <w:rFonts w:cs="Arial"/>
          <w:szCs w:val="20"/>
        </w:rPr>
        <w:instrText xml:space="preserve"> REF _Ref68521754 \r \h </w:instrText>
      </w:r>
      <w:r w:rsidR="00AA3979" w:rsidRPr="00521A4E">
        <w:rPr>
          <w:rFonts w:cs="Arial"/>
          <w:szCs w:val="20"/>
        </w:rPr>
        <w:instrText xml:space="preserve"> \* MERGEFORMAT </w:instrText>
      </w:r>
      <w:r w:rsidR="00F35E2E" w:rsidRPr="00521A4E">
        <w:rPr>
          <w:rFonts w:cs="Arial"/>
          <w:szCs w:val="20"/>
        </w:rPr>
      </w:r>
      <w:r w:rsidR="00F35E2E" w:rsidRPr="00521A4E">
        <w:rPr>
          <w:rFonts w:cs="Arial"/>
          <w:szCs w:val="20"/>
        </w:rPr>
        <w:fldChar w:fldCharType="separate"/>
      </w:r>
      <w:r w:rsidR="00F201E9">
        <w:rPr>
          <w:rFonts w:cs="Arial"/>
          <w:szCs w:val="20"/>
        </w:rPr>
        <w:t>2.1.3</w:t>
      </w:r>
      <w:r w:rsidR="00F35E2E" w:rsidRPr="00521A4E">
        <w:rPr>
          <w:rFonts w:cs="Arial"/>
          <w:szCs w:val="20"/>
        </w:rPr>
        <w:fldChar w:fldCharType="end"/>
      </w:r>
      <w:r w:rsidRPr="00521A4E">
        <w:rPr>
          <w:rFonts w:cs="Arial"/>
          <w:szCs w:val="20"/>
        </w:rPr>
        <w:t xml:space="preserve">, the TDM and FDM resource configurations should be configured and provided </w:t>
      </w:r>
      <w:r w:rsidR="003F753C" w:rsidRPr="00521A4E">
        <w:rPr>
          <w:rFonts w:cs="Arial"/>
          <w:szCs w:val="20"/>
        </w:rPr>
        <w:t>separately</w:t>
      </w:r>
      <w:r w:rsidR="00D06E75" w:rsidRPr="00521A4E">
        <w:rPr>
          <w:rFonts w:cs="Arial"/>
          <w:szCs w:val="20"/>
        </w:rPr>
        <w:t xml:space="preserve">. Accordingly, </w:t>
      </w:r>
      <w:r w:rsidRPr="00521A4E">
        <w:rPr>
          <w:rFonts w:cs="Arial"/>
          <w:szCs w:val="20"/>
        </w:rPr>
        <w:t>the availability indication of TDM soft resource and FDM soft resource should also be configured and provided in</w:t>
      </w:r>
      <w:r w:rsidR="00423932" w:rsidRPr="00521A4E">
        <w:rPr>
          <w:rFonts w:cs="Arial"/>
          <w:szCs w:val="20"/>
        </w:rPr>
        <w:t>de</w:t>
      </w:r>
      <w:r w:rsidRPr="00521A4E">
        <w:rPr>
          <w:rFonts w:cs="Arial"/>
          <w:szCs w:val="20"/>
        </w:rPr>
        <w:t>pe</w:t>
      </w:r>
      <w:r w:rsidR="005F486F" w:rsidRPr="00521A4E">
        <w:rPr>
          <w:rFonts w:cs="Arial"/>
          <w:szCs w:val="20"/>
        </w:rPr>
        <w:t>n</w:t>
      </w:r>
      <w:r w:rsidRPr="00521A4E">
        <w:rPr>
          <w:rFonts w:cs="Arial"/>
          <w:szCs w:val="20"/>
        </w:rPr>
        <w:t xml:space="preserve">dently. </w:t>
      </w:r>
      <w:r w:rsidR="00A67A81" w:rsidRPr="00521A4E">
        <w:rPr>
          <w:rFonts w:cs="Arial"/>
          <w:szCs w:val="20"/>
        </w:rPr>
        <w:t>M</w:t>
      </w:r>
      <w:r w:rsidR="00E614B9" w:rsidRPr="00521A4E">
        <w:rPr>
          <w:rFonts w:cs="Arial"/>
          <w:szCs w:val="20"/>
        </w:rPr>
        <w:t>oreover</w:t>
      </w:r>
      <w:r w:rsidRPr="00521A4E">
        <w:rPr>
          <w:rFonts w:cs="Arial"/>
          <w:szCs w:val="20"/>
        </w:rPr>
        <w:t xml:space="preserve">, in FDM, the availability of </w:t>
      </w:r>
      <w:r w:rsidR="00CB61C2" w:rsidRPr="00521A4E">
        <w:rPr>
          <w:rFonts w:cs="Arial"/>
          <w:szCs w:val="20"/>
        </w:rPr>
        <w:t xml:space="preserve">frequency domain soft resources over time could be indicated in a similar way as the time domain soft resource. </w:t>
      </w:r>
      <w:r w:rsidRPr="00521A4E">
        <w:rPr>
          <w:rFonts w:cs="Arial"/>
          <w:szCs w:val="20"/>
        </w:rPr>
        <w:t xml:space="preserve">To be backwards compatible with the Rel-16 Availability Indication and to limit the specification impact, the legacy DCI format 2_5 can be extended to jointly coordinate usage </w:t>
      </w:r>
      <w:r w:rsidR="001C5B47" w:rsidRPr="00521A4E">
        <w:rPr>
          <w:rFonts w:cs="Arial"/>
          <w:szCs w:val="20"/>
        </w:rPr>
        <w:t xml:space="preserve">of </w:t>
      </w:r>
      <w:r w:rsidRPr="00521A4E">
        <w:rPr>
          <w:rFonts w:cs="Arial"/>
          <w:szCs w:val="20"/>
        </w:rPr>
        <w:t>frequency Soft resources</w:t>
      </w:r>
      <w:r w:rsidR="00437D67" w:rsidRPr="00521A4E">
        <w:rPr>
          <w:rFonts w:cs="Arial"/>
          <w:szCs w:val="20"/>
        </w:rPr>
        <w:t xml:space="preserve"> over time</w:t>
      </w:r>
      <w:r w:rsidRPr="00521A4E">
        <w:rPr>
          <w:rFonts w:cs="Arial"/>
          <w:szCs w:val="20"/>
        </w:rPr>
        <w:t xml:space="preserve">. In particular, the </w:t>
      </w:r>
      <w:r w:rsidR="00D06E75" w:rsidRPr="00521A4E">
        <w:rPr>
          <w:rFonts w:cs="Arial"/>
          <w:szCs w:val="20"/>
        </w:rPr>
        <w:t>structure</w:t>
      </w:r>
      <w:r w:rsidR="005227C1" w:rsidRPr="00521A4E">
        <w:rPr>
          <w:rFonts w:cs="Arial"/>
          <w:szCs w:val="20"/>
        </w:rPr>
        <w:t xml:space="preserve"> of the </w:t>
      </w:r>
      <w:r w:rsidRPr="00521A4E">
        <w:rPr>
          <w:rFonts w:cs="Arial"/>
          <w:szCs w:val="20"/>
        </w:rPr>
        <w:t>legacy availability combination table (</w:t>
      </w:r>
      <w:r w:rsidRPr="00521A4E">
        <w:rPr>
          <w:rFonts w:cs="Arial"/>
          <w:i/>
          <w:szCs w:val="20"/>
        </w:rPr>
        <w:t>availabilityCombinations</w:t>
      </w:r>
      <w:r w:rsidR="00792220" w:rsidRPr="00521A4E">
        <w:rPr>
          <w:rFonts w:cs="Arial"/>
          <w:iCs/>
          <w:szCs w:val="20"/>
        </w:rPr>
        <w:t xml:space="preserve"> in </w:t>
      </w:r>
      <w:r w:rsidR="009033A3" w:rsidRPr="00521A4E">
        <w:rPr>
          <w:rFonts w:cs="Arial"/>
          <w:iCs/>
          <w:szCs w:val="20"/>
        </w:rPr>
        <w:t xml:space="preserve">TS </w:t>
      </w:r>
      <w:r w:rsidR="00792220" w:rsidRPr="00521A4E">
        <w:rPr>
          <w:rFonts w:cs="Arial"/>
          <w:iCs/>
          <w:szCs w:val="20"/>
        </w:rPr>
        <w:t>38.213</w:t>
      </w:r>
      <w:r w:rsidR="009033A3" w:rsidRPr="00521A4E">
        <w:rPr>
          <w:rFonts w:cs="Arial"/>
          <w:iCs/>
          <w:szCs w:val="20"/>
        </w:rPr>
        <w:t xml:space="preserve"> </w:t>
      </w:r>
      <w:r w:rsidR="009033A3" w:rsidRPr="00521A4E">
        <w:rPr>
          <w:rFonts w:cs="Arial"/>
          <w:iCs/>
          <w:szCs w:val="20"/>
        </w:rPr>
        <w:fldChar w:fldCharType="begin"/>
      </w:r>
      <w:r w:rsidR="009033A3" w:rsidRPr="00521A4E">
        <w:rPr>
          <w:rFonts w:cs="Arial"/>
          <w:iCs/>
          <w:szCs w:val="20"/>
        </w:rPr>
        <w:instrText xml:space="preserve"> REF _Ref71662548 \r \h </w:instrText>
      </w:r>
      <w:r w:rsidR="009033A3" w:rsidRPr="00521A4E">
        <w:rPr>
          <w:rFonts w:cs="Arial"/>
          <w:iCs/>
          <w:szCs w:val="20"/>
        </w:rPr>
      </w:r>
      <w:r w:rsidR="007E3B07" w:rsidRPr="00521A4E">
        <w:rPr>
          <w:rFonts w:cs="Arial"/>
          <w:iCs/>
          <w:szCs w:val="20"/>
        </w:rPr>
        <w:instrText xml:space="preserve"> \* MERGEFORMAT </w:instrText>
      </w:r>
      <w:r w:rsidR="009033A3" w:rsidRPr="00521A4E">
        <w:rPr>
          <w:rFonts w:cs="Arial"/>
          <w:iCs/>
          <w:szCs w:val="20"/>
        </w:rPr>
        <w:fldChar w:fldCharType="separate"/>
      </w:r>
      <w:r w:rsidR="00F201E9">
        <w:rPr>
          <w:rFonts w:cs="Arial"/>
          <w:iCs/>
          <w:szCs w:val="20"/>
        </w:rPr>
        <w:t>[7]</w:t>
      </w:r>
      <w:r w:rsidR="009033A3" w:rsidRPr="00521A4E">
        <w:rPr>
          <w:rFonts w:cs="Arial"/>
          <w:iCs/>
          <w:szCs w:val="20"/>
        </w:rPr>
        <w:fldChar w:fldCharType="end"/>
      </w:r>
      <w:r w:rsidRPr="00521A4E">
        <w:rPr>
          <w:rFonts w:cs="Arial"/>
          <w:szCs w:val="20"/>
        </w:rPr>
        <w:t>) should be reused.</w:t>
      </w:r>
    </w:p>
    <w:p w14:paraId="12B1B624" w14:textId="3D7CD87F" w:rsidR="006C16E6" w:rsidRPr="00521A4E" w:rsidRDefault="007F757E" w:rsidP="007E3B07">
      <w:pPr>
        <w:pStyle w:val="BodyText"/>
        <w:rPr>
          <w:lang w:eastAsia="ja-JP"/>
        </w:rPr>
      </w:pPr>
      <w:bookmarkStart w:id="134" w:name="_Toc71634975"/>
      <w:bookmarkStart w:id="135" w:name="_Toc71635317"/>
      <w:bookmarkStart w:id="136" w:name="_Toc71635383"/>
      <w:bookmarkStart w:id="137" w:name="_Toc71635510"/>
      <w:bookmarkStart w:id="138" w:name="_Toc71635705"/>
      <w:bookmarkStart w:id="139" w:name="_Toc71635786"/>
      <w:bookmarkStart w:id="140" w:name="_Toc71635818"/>
      <w:bookmarkStart w:id="141" w:name="_Toc71636111"/>
      <w:bookmarkStart w:id="142" w:name="_Toc71636172"/>
      <w:bookmarkStart w:id="143" w:name="_Toc71636608"/>
      <w:bookmarkStart w:id="144" w:name="_Toc71636682"/>
      <w:bookmarkStart w:id="145" w:name="_Toc71636852"/>
      <w:bookmarkEnd w:id="134"/>
      <w:bookmarkEnd w:id="135"/>
      <w:bookmarkEnd w:id="136"/>
      <w:bookmarkEnd w:id="137"/>
      <w:bookmarkEnd w:id="138"/>
      <w:bookmarkEnd w:id="139"/>
      <w:bookmarkEnd w:id="140"/>
      <w:bookmarkEnd w:id="141"/>
      <w:bookmarkEnd w:id="142"/>
      <w:bookmarkEnd w:id="143"/>
      <w:bookmarkEnd w:id="144"/>
      <w:bookmarkEnd w:id="145"/>
      <w:r w:rsidRPr="00521A4E">
        <w:rPr>
          <w:rFonts w:cs="Arial"/>
          <w:szCs w:val="20"/>
        </w:rPr>
        <w:lastRenderedPageBreak/>
        <w:t xml:space="preserve">In Rel-16, an AI index field value in a DCI format 2_5 indicates to an IAB-DU a soft symbol availability for a sequence of slots over the whole bandwidth of the serving cell. </w:t>
      </w:r>
      <w:r w:rsidR="0065105B" w:rsidRPr="00521A4E">
        <w:rPr>
          <w:rFonts w:cs="Arial"/>
          <w:szCs w:val="20"/>
        </w:rPr>
        <w:t xml:space="preserve">AI indication for frequency domain resources can be per </w:t>
      </w:r>
      <w:r w:rsidR="00D06E75" w:rsidRPr="00521A4E">
        <w:rPr>
          <w:rFonts w:cs="Arial"/>
          <w:szCs w:val="20"/>
        </w:rPr>
        <w:t>RB set</w:t>
      </w:r>
      <w:r w:rsidR="009A3C21" w:rsidRPr="00521A4E">
        <w:rPr>
          <w:rFonts w:cs="Arial"/>
          <w:szCs w:val="20"/>
        </w:rPr>
        <w:t>,</w:t>
      </w:r>
      <w:r w:rsidR="0065105B" w:rsidRPr="00521A4E">
        <w:rPr>
          <w:rFonts w:cs="Arial"/>
          <w:szCs w:val="20"/>
        </w:rPr>
        <w:t xml:space="preserve"> or </w:t>
      </w:r>
      <w:r w:rsidR="009A3C21" w:rsidRPr="00521A4E">
        <w:rPr>
          <w:rFonts w:cs="Arial"/>
          <w:szCs w:val="20"/>
        </w:rPr>
        <w:t xml:space="preserve">a </w:t>
      </w:r>
      <w:r w:rsidR="0065105B" w:rsidRPr="00521A4E">
        <w:rPr>
          <w:rFonts w:cs="Arial"/>
          <w:szCs w:val="20"/>
        </w:rPr>
        <w:t>group of RB</w:t>
      </w:r>
      <w:r w:rsidR="00D06E75" w:rsidRPr="00521A4E">
        <w:rPr>
          <w:rFonts w:cs="Arial"/>
          <w:szCs w:val="20"/>
        </w:rPr>
        <w:t xml:space="preserve"> set</w:t>
      </w:r>
      <w:r w:rsidR="0065105B" w:rsidRPr="00521A4E">
        <w:rPr>
          <w:rFonts w:cs="Arial"/>
          <w:szCs w:val="20"/>
        </w:rPr>
        <w:t>s</w:t>
      </w:r>
      <w:r w:rsidR="009A3C21" w:rsidRPr="00521A4E">
        <w:rPr>
          <w:rFonts w:cs="Arial"/>
          <w:szCs w:val="20"/>
        </w:rPr>
        <w:t xml:space="preserve">, i.e., </w:t>
      </w:r>
      <w:r w:rsidR="00A25E1F" w:rsidRPr="00521A4E">
        <w:rPr>
          <w:rFonts w:cs="Arial"/>
          <w:szCs w:val="20"/>
        </w:rPr>
        <w:t xml:space="preserve">a </w:t>
      </w:r>
      <w:r w:rsidR="009A3C21" w:rsidRPr="00521A4E">
        <w:rPr>
          <w:rFonts w:cs="Arial"/>
          <w:szCs w:val="20"/>
        </w:rPr>
        <w:t>group of set(s) of RBs</w:t>
      </w:r>
      <w:r w:rsidR="00794564" w:rsidRPr="00521A4E">
        <w:rPr>
          <w:rFonts w:cs="Arial"/>
          <w:szCs w:val="20"/>
        </w:rPr>
        <w:t>,</w:t>
      </w:r>
      <w:r w:rsidR="009A3C21" w:rsidRPr="00521A4E">
        <w:rPr>
          <w:rFonts w:cs="Arial"/>
          <w:szCs w:val="20"/>
        </w:rPr>
        <w:t xml:space="preserve"> to reduce signaling overhead</w:t>
      </w:r>
      <w:r w:rsidR="0065105B" w:rsidRPr="00521A4E">
        <w:rPr>
          <w:rFonts w:cs="Arial"/>
          <w:szCs w:val="20"/>
        </w:rPr>
        <w:t xml:space="preserve"> (see the discussion of frequency domain granularity in Section </w:t>
      </w:r>
      <w:r w:rsidR="0065105B" w:rsidRPr="00521A4E">
        <w:rPr>
          <w:rFonts w:cs="Arial"/>
          <w:szCs w:val="20"/>
        </w:rPr>
        <w:fldChar w:fldCharType="begin"/>
      </w:r>
      <w:r w:rsidR="0065105B" w:rsidRPr="00521A4E">
        <w:rPr>
          <w:rFonts w:cs="Arial"/>
          <w:szCs w:val="20"/>
        </w:rPr>
        <w:instrText xml:space="preserve"> REF _Ref58590315 \r \h  \* MERGEFORMAT </w:instrText>
      </w:r>
      <w:r w:rsidR="0065105B" w:rsidRPr="00521A4E">
        <w:rPr>
          <w:rFonts w:cs="Arial"/>
          <w:szCs w:val="20"/>
        </w:rPr>
      </w:r>
      <w:r w:rsidR="0065105B" w:rsidRPr="00521A4E">
        <w:rPr>
          <w:rFonts w:cs="Arial"/>
          <w:szCs w:val="20"/>
        </w:rPr>
        <w:fldChar w:fldCharType="separate"/>
      </w:r>
      <w:r w:rsidR="00F201E9">
        <w:rPr>
          <w:rFonts w:cs="Arial"/>
          <w:szCs w:val="20"/>
        </w:rPr>
        <w:t>2.1.1</w:t>
      </w:r>
      <w:r w:rsidR="0065105B" w:rsidRPr="00521A4E">
        <w:rPr>
          <w:rFonts w:cs="Arial"/>
          <w:szCs w:val="20"/>
        </w:rPr>
        <w:fldChar w:fldCharType="end"/>
      </w:r>
      <w:r w:rsidR="0065105B" w:rsidRPr="00521A4E">
        <w:rPr>
          <w:rFonts w:cs="Arial"/>
          <w:szCs w:val="20"/>
        </w:rPr>
        <w:t xml:space="preserve">). </w:t>
      </w:r>
      <w:r w:rsidRPr="00521A4E">
        <w:rPr>
          <w:rFonts w:cs="Arial"/>
          <w:szCs w:val="20"/>
        </w:rPr>
        <w:t xml:space="preserve">When transmission/reception resources of a cell </w:t>
      </w:r>
      <w:r w:rsidR="00DF79A3" w:rsidRPr="00521A4E">
        <w:rPr>
          <w:rFonts w:cs="Arial"/>
          <w:szCs w:val="20"/>
        </w:rPr>
        <w:t>are</w:t>
      </w:r>
      <w:r w:rsidRPr="00521A4E">
        <w:rPr>
          <w:rFonts w:cs="Arial"/>
          <w:szCs w:val="20"/>
        </w:rPr>
        <w:t xml:space="preserve"> partitioned into </w:t>
      </w:r>
      <w:r w:rsidR="00DF79A3" w:rsidRPr="00521A4E">
        <w:rPr>
          <w:rFonts w:cs="Arial"/>
          <w:szCs w:val="20"/>
        </w:rPr>
        <w:t>(</w:t>
      </w:r>
      <w:r w:rsidRPr="00521A4E">
        <w:rPr>
          <w:rFonts w:cs="Arial"/>
          <w:szCs w:val="20"/>
        </w:rPr>
        <w:t>multiple</w:t>
      </w:r>
      <w:r w:rsidR="00DF79A3" w:rsidRPr="00521A4E">
        <w:rPr>
          <w:rFonts w:cs="Arial"/>
          <w:szCs w:val="20"/>
        </w:rPr>
        <w:t>)</w:t>
      </w:r>
      <w:r w:rsidRPr="00521A4E">
        <w:rPr>
          <w:rFonts w:cs="Arial"/>
          <w:szCs w:val="20"/>
        </w:rPr>
        <w:t xml:space="preserve"> </w:t>
      </w:r>
      <w:r w:rsidR="00CB61C2" w:rsidRPr="00521A4E">
        <w:rPr>
          <w:rFonts w:cs="Arial"/>
          <w:szCs w:val="20"/>
        </w:rPr>
        <w:t>sets of</w:t>
      </w:r>
      <w:r w:rsidRPr="00521A4E">
        <w:rPr>
          <w:rFonts w:cs="Arial"/>
          <w:szCs w:val="20"/>
        </w:rPr>
        <w:t xml:space="preserve"> RBs, there can be multiple frequency-domain soft resources </w:t>
      </w:r>
      <w:r w:rsidR="00CB61C2" w:rsidRPr="00521A4E">
        <w:rPr>
          <w:rFonts w:cs="Arial"/>
          <w:szCs w:val="20"/>
        </w:rPr>
        <w:t>s</w:t>
      </w:r>
      <w:r w:rsidRPr="00521A4E">
        <w:rPr>
          <w:rFonts w:cs="Arial"/>
          <w:szCs w:val="20"/>
        </w:rPr>
        <w:t>ets</w:t>
      </w:r>
      <w:r w:rsidR="00CB61C2" w:rsidRPr="00521A4E">
        <w:rPr>
          <w:rFonts w:cs="Arial"/>
          <w:szCs w:val="20"/>
        </w:rPr>
        <w:t xml:space="preserve"> of RBs</w:t>
      </w:r>
      <w:r w:rsidRPr="00521A4E">
        <w:rPr>
          <w:rFonts w:cs="Arial"/>
          <w:szCs w:val="20"/>
        </w:rPr>
        <w:t xml:space="preserve"> associated to the same slot. In this case, </w:t>
      </w:r>
      <w:r w:rsidR="00D827F9" w:rsidRPr="00521A4E">
        <w:rPr>
          <w:rFonts w:cs="Arial"/>
          <w:szCs w:val="20"/>
        </w:rPr>
        <w:t xml:space="preserve">the multiple </w:t>
      </w:r>
      <w:r w:rsidR="002E3298" w:rsidRPr="00521A4E">
        <w:rPr>
          <w:rFonts w:cs="Arial"/>
          <w:szCs w:val="20"/>
        </w:rPr>
        <w:t xml:space="preserve">sets of </w:t>
      </w:r>
      <w:r w:rsidR="00D827F9" w:rsidRPr="00521A4E">
        <w:rPr>
          <w:rFonts w:cs="Arial"/>
          <w:szCs w:val="20"/>
        </w:rPr>
        <w:t>RBs, which are for example provided with same frequency domain H/S/NA configuration c</w:t>
      </w:r>
      <w:r w:rsidR="004D7645" w:rsidRPr="00521A4E">
        <w:rPr>
          <w:rFonts w:cs="Arial"/>
          <w:szCs w:val="20"/>
        </w:rPr>
        <w:t>ould</w:t>
      </w:r>
      <w:r w:rsidR="00D827F9" w:rsidRPr="00521A4E">
        <w:rPr>
          <w:rFonts w:cs="Arial"/>
          <w:szCs w:val="20"/>
        </w:rPr>
        <w:t xml:space="preserve"> be associated to one </w:t>
      </w:r>
      <w:r w:rsidR="00D827F9" w:rsidRPr="00521A4E">
        <w:rPr>
          <w:rFonts w:cs="Arial"/>
          <w:i/>
          <w:iCs/>
          <w:szCs w:val="20"/>
        </w:rPr>
        <w:t>availabilityCombination</w:t>
      </w:r>
      <w:r w:rsidR="006B7B70" w:rsidRPr="00521A4E">
        <w:rPr>
          <w:rFonts w:cs="Arial"/>
          <w:i/>
          <w:iCs/>
          <w:szCs w:val="20"/>
        </w:rPr>
        <w:t>Id</w:t>
      </w:r>
      <w:r w:rsidR="00D827F9" w:rsidRPr="00521A4E">
        <w:rPr>
          <w:rFonts w:cs="Arial"/>
          <w:szCs w:val="20"/>
        </w:rPr>
        <w:t xml:space="preserve"> of the </w:t>
      </w:r>
      <w:r w:rsidR="00D827F9" w:rsidRPr="00521A4E">
        <w:rPr>
          <w:rFonts w:cs="Arial"/>
          <w:i/>
          <w:iCs/>
          <w:szCs w:val="20"/>
        </w:rPr>
        <w:t>availabilityCombinations</w:t>
      </w:r>
      <w:r w:rsidR="00D827F9" w:rsidRPr="00521A4E">
        <w:rPr>
          <w:rFonts w:cs="Arial"/>
          <w:szCs w:val="20"/>
        </w:rPr>
        <w:t xml:space="preserve">. </w:t>
      </w:r>
      <w:r w:rsidR="00B11ADF" w:rsidRPr="00521A4E">
        <w:rPr>
          <w:rFonts w:cs="Arial"/>
          <w:szCs w:val="20"/>
        </w:rPr>
        <w:fldChar w:fldCharType="begin"/>
      </w:r>
      <w:r w:rsidR="00B11ADF" w:rsidRPr="00521A4E">
        <w:rPr>
          <w:rFonts w:cs="Arial"/>
          <w:szCs w:val="20"/>
        </w:rPr>
        <w:instrText xml:space="preserve"> REF _Ref77177356 \h </w:instrText>
      </w:r>
      <w:r w:rsidR="006F3B67" w:rsidRPr="00521A4E">
        <w:rPr>
          <w:rFonts w:cs="Arial"/>
          <w:szCs w:val="20"/>
        </w:rPr>
        <w:instrText xml:space="preserve"> \* MERGEFORMAT </w:instrText>
      </w:r>
      <w:r w:rsidR="00B11ADF" w:rsidRPr="00521A4E">
        <w:rPr>
          <w:rFonts w:cs="Arial"/>
          <w:szCs w:val="20"/>
        </w:rPr>
      </w:r>
      <w:r w:rsidR="00B11ADF" w:rsidRPr="00521A4E">
        <w:rPr>
          <w:rFonts w:cs="Arial"/>
          <w:szCs w:val="20"/>
        </w:rPr>
        <w:fldChar w:fldCharType="separate"/>
      </w:r>
      <w:r w:rsidR="00F201E9" w:rsidRPr="00521A4E">
        <w:t xml:space="preserve">Figure </w:t>
      </w:r>
      <w:r w:rsidR="00F201E9">
        <w:rPr>
          <w:noProof/>
        </w:rPr>
        <w:t>4</w:t>
      </w:r>
      <w:r w:rsidR="00B11ADF" w:rsidRPr="00521A4E">
        <w:rPr>
          <w:rFonts w:cs="Arial"/>
          <w:szCs w:val="20"/>
        </w:rPr>
        <w:fldChar w:fldCharType="end"/>
      </w:r>
      <w:r w:rsidR="00B11ADF" w:rsidRPr="00521A4E">
        <w:rPr>
          <w:rFonts w:cs="Arial"/>
          <w:szCs w:val="20"/>
        </w:rPr>
        <w:t xml:space="preserve"> </w:t>
      </w:r>
      <w:r w:rsidR="00BC41D9" w:rsidRPr="00521A4E">
        <w:rPr>
          <w:rFonts w:cs="Arial"/>
        </w:rPr>
        <w:t xml:space="preserve">gives an example of enhancement of </w:t>
      </w:r>
      <w:r w:rsidR="00BC41D9" w:rsidRPr="00521A4E">
        <w:rPr>
          <w:rFonts w:cs="Arial"/>
          <w:i/>
          <w:iCs/>
        </w:rPr>
        <w:t>availability</w:t>
      </w:r>
      <w:r w:rsidR="006B7B70" w:rsidRPr="00521A4E">
        <w:rPr>
          <w:rFonts w:cs="Arial"/>
          <w:i/>
          <w:iCs/>
        </w:rPr>
        <w:t>Combinations</w:t>
      </w:r>
      <w:r w:rsidR="006B7B70" w:rsidRPr="00521A4E">
        <w:rPr>
          <w:rFonts w:cs="Arial"/>
        </w:rPr>
        <w:t xml:space="preserve"> </w:t>
      </w:r>
      <w:r w:rsidR="00BC41D9" w:rsidRPr="00521A4E">
        <w:rPr>
          <w:rFonts w:cs="Arial"/>
        </w:rPr>
        <w:t xml:space="preserve">to frequency domain soft resource </w:t>
      </w:r>
      <w:r w:rsidR="00F95FDD" w:rsidRPr="00521A4E">
        <w:rPr>
          <w:rFonts w:cs="Arial"/>
        </w:rPr>
        <w:t xml:space="preserve">where one </w:t>
      </w:r>
      <w:r w:rsidR="00F95FDD" w:rsidRPr="00521A4E">
        <w:rPr>
          <w:rFonts w:cs="Arial"/>
          <w:i/>
          <w:iCs/>
        </w:rPr>
        <w:t xml:space="preserve">availabilityCombinationId </w:t>
      </w:r>
      <w:r w:rsidR="00F95FDD" w:rsidRPr="00521A4E">
        <w:rPr>
          <w:rFonts w:cs="Arial"/>
        </w:rPr>
        <w:t xml:space="preserve">can be mapped to </w:t>
      </w:r>
      <w:r w:rsidR="00A25E1F" w:rsidRPr="00521A4E">
        <w:rPr>
          <w:rFonts w:cs="Arial"/>
        </w:rPr>
        <w:t>RB set</w:t>
      </w:r>
      <w:r w:rsidR="005B09CF" w:rsidRPr="00521A4E">
        <w:rPr>
          <w:rFonts w:cs="Arial"/>
        </w:rPr>
        <w:t xml:space="preserve"> identifiers</w:t>
      </w:r>
      <w:r w:rsidR="00A25E1F" w:rsidRPr="00521A4E">
        <w:rPr>
          <w:rFonts w:cs="Arial"/>
        </w:rPr>
        <w:t xml:space="preserve"> (indices):</w:t>
      </w:r>
      <w:r w:rsidR="002E3298" w:rsidRPr="00521A4E">
        <w:rPr>
          <w:rFonts w:cs="Arial"/>
        </w:rPr>
        <w:t xml:space="preserve"> one </w:t>
      </w:r>
      <w:r w:rsidR="00A25E1F" w:rsidRPr="00521A4E">
        <w:rPr>
          <w:rFonts w:cs="Arial"/>
        </w:rPr>
        <w:t>could index</w:t>
      </w:r>
      <w:r w:rsidR="002E3298" w:rsidRPr="00521A4E">
        <w:rPr>
          <w:rFonts w:cs="Arial"/>
        </w:rPr>
        <w:t xml:space="preserve"> each </w:t>
      </w:r>
      <w:r w:rsidR="00A25E1F" w:rsidRPr="00521A4E">
        <w:rPr>
          <w:rFonts w:cs="Arial"/>
        </w:rPr>
        <w:t xml:space="preserve">individual </w:t>
      </w:r>
      <w:r w:rsidR="002E3298" w:rsidRPr="00521A4E">
        <w:rPr>
          <w:rFonts w:cs="Arial"/>
        </w:rPr>
        <w:t>set of RBs</w:t>
      </w:r>
      <w:r w:rsidR="005B09CF" w:rsidRPr="00521A4E">
        <w:rPr>
          <w:rFonts w:cs="Arial"/>
        </w:rPr>
        <w:t xml:space="preserve"> (DU-RB-SET-IDs), or one </w:t>
      </w:r>
      <w:r w:rsidR="00A25E1F" w:rsidRPr="00521A4E">
        <w:rPr>
          <w:rFonts w:cs="Arial"/>
        </w:rPr>
        <w:t>could index a</w:t>
      </w:r>
      <w:r w:rsidR="00F4200F" w:rsidRPr="00521A4E">
        <w:rPr>
          <w:rFonts w:cs="Arial"/>
        </w:rPr>
        <w:t xml:space="preserve"> </w:t>
      </w:r>
      <w:r w:rsidR="005B09CF" w:rsidRPr="00521A4E">
        <w:rPr>
          <w:rFonts w:cs="Arial"/>
        </w:rPr>
        <w:t xml:space="preserve">group of </w:t>
      </w:r>
      <w:r w:rsidR="002E3298" w:rsidRPr="00521A4E">
        <w:rPr>
          <w:rFonts w:cs="Arial"/>
        </w:rPr>
        <w:t>RB</w:t>
      </w:r>
      <w:r w:rsidR="00A25E1F" w:rsidRPr="00521A4E">
        <w:rPr>
          <w:rFonts w:cs="Arial"/>
        </w:rPr>
        <w:t xml:space="preserve"> </w:t>
      </w:r>
      <w:r w:rsidR="002E3298" w:rsidRPr="00521A4E">
        <w:rPr>
          <w:rFonts w:cs="Arial"/>
        </w:rPr>
        <w:t xml:space="preserve">sets </w:t>
      </w:r>
      <w:r w:rsidR="005B09CF" w:rsidRPr="00521A4E">
        <w:rPr>
          <w:rFonts w:cs="Arial"/>
        </w:rPr>
        <w:t xml:space="preserve">(DU-RB-SET-group-ID). </w:t>
      </w:r>
      <w:r w:rsidR="00BC41D9" w:rsidRPr="00521A4E">
        <w:rPr>
          <w:rFonts w:cs="Arial"/>
        </w:rPr>
        <w:t xml:space="preserve">In the legacy provisioning of </w:t>
      </w:r>
      <w:r w:rsidR="00BC41D9" w:rsidRPr="00521A4E">
        <w:rPr>
          <w:rFonts w:cs="Arial"/>
          <w:i/>
        </w:rPr>
        <w:t>availabilityCombinations</w:t>
      </w:r>
      <w:r w:rsidR="00BC41D9" w:rsidRPr="00521A4E">
        <w:rPr>
          <w:rFonts w:cs="Arial"/>
        </w:rPr>
        <w:t xml:space="preserve">, the location information </w:t>
      </w:r>
      <w:r w:rsidR="00F4200F" w:rsidRPr="00521A4E">
        <w:rPr>
          <w:rFonts w:cs="Arial"/>
        </w:rPr>
        <w:t>in a DCI format 2_5</w:t>
      </w:r>
      <w:r w:rsidR="00BC41D9" w:rsidRPr="00521A4E">
        <w:rPr>
          <w:rFonts w:cs="Arial"/>
        </w:rPr>
        <w:t xml:space="preserve"> is only associated to the cell-ID. </w:t>
      </w:r>
      <w:r w:rsidR="00CD73D2" w:rsidRPr="00521A4E">
        <w:rPr>
          <w:rFonts w:cs="Arial"/>
        </w:rPr>
        <w:t xml:space="preserve">In </w:t>
      </w:r>
      <w:r w:rsidR="00032FD7" w:rsidRPr="00521A4E">
        <w:rPr>
          <w:rFonts w:cs="Arial"/>
        </w:rPr>
        <w:t>an</w:t>
      </w:r>
      <w:r w:rsidR="00CD73D2" w:rsidRPr="00521A4E">
        <w:rPr>
          <w:rFonts w:cs="Arial"/>
        </w:rPr>
        <w:t xml:space="preserve"> enhanced way of provisioning </w:t>
      </w:r>
      <w:r w:rsidR="00CD73D2" w:rsidRPr="00521A4E">
        <w:rPr>
          <w:rFonts w:cs="Arial"/>
          <w:i/>
        </w:rPr>
        <w:t>availabilityCombinations</w:t>
      </w:r>
      <w:r w:rsidR="00CD73D2" w:rsidRPr="00521A4E">
        <w:rPr>
          <w:rFonts w:cs="Arial"/>
        </w:rPr>
        <w:t xml:space="preserve">, the location information can be associated to </w:t>
      </w:r>
      <w:r w:rsidR="005B09CF" w:rsidRPr="00521A4E">
        <w:rPr>
          <w:rFonts w:cs="Arial"/>
        </w:rPr>
        <w:t>a combination of</w:t>
      </w:r>
      <w:r w:rsidR="00CD73D2" w:rsidRPr="00521A4E">
        <w:rPr>
          <w:rFonts w:cs="Arial"/>
        </w:rPr>
        <w:t xml:space="preserve"> the cell-ID and </w:t>
      </w:r>
      <w:r w:rsidR="005B09CF" w:rsidRPr="00521A4E">
        <w:rPr>
          <w:rFonts w:cs="Arial"/>
        </w:rPr>
        <w:t>DU-</w:t>
      </w:r>
      <w:r w:rsidR="00CD73D2" w:rsidRPr="00521A4E">
        <w:rPr>
          <w:rFonts w:cs="Arial"/>
        </w:rPr>
        <w:t>RB-</w:t>
      </w:r>
      <w:r w:rsidR="00BE46A7" w:rsidRPr="00521A4E">
        <w:rPr>
          <w:rFonts w:cs="Arial"/>
        </w:rPr>
        <w:t>S</w:t>
      </w:r>
      <w:r w:rsidR="005B09CF" w:rsidRPr="00521A4E">
        <w:rPr>
          <w:rFonts w:cs="Arial"/>
        </w:rPr>
        <w:t>ET</w:t>
      </w:r>
      <w:r w:rsidR="00CD73D2" w:rsidRPr="00521A4E">
        <w:rPr>
          <w:rFonts w:cs="Arial"/>
        </w:rPr>
        <w:t>-ID</w:t>
      </w:r>
      <w:r w:rsidR="005B09CF" w:rsidRPr="00521A4E">
        <w:rPr>
          <w:rFonts w:cs="Arial"/>
        </w:rPr>
        <w:t>s,</w:t>
      </w:r>
      <w:r w:rsidR="006B7B70" w:rsidRPr="00521A4E">
        <w:rPr>
          <w:rFonts w:cs="Arial"/>
        </w:rPr>
        <w:t xml:space="preserve"> or </w:t>
      </w:r>
      <w:r w:rsidR="005B09CF" w:rsidRPr="00521A4E">
        <w:rPr>
          <w:rFonts w:cs="Arial"/>
        </w:rPr>
        <w:t>DU-</w:t>
      </w:r>
      <w:r w:rsidR="006B7B70" w:rsidRPr="00521A4E">
        <w:rPr>
          <w:rFonts w:cs="Arial"/>
        </w:rPr>
        <w:t>RB-</w:t>
      </w:r>
      <w:r w:rsidR="005B09CF" w:rsidRPr="00521A4E">
        <w:rPr>
          <w:rFonts w:cs="Arial"/>
        </w:rPr>
        <w:t>SET</w:t>
      </w:r>
      <w:r w:rsidR="006B7B70" w:rsidRPr="00521A4E">
        <w:rPr>
          <w:rFonts w:cs="Arial"/>
        </w:rPr>
        <w:t>-group-ID</w:t>
      </w:r>
      <w:r w:rsidR="00032FD7" w:rsidRPr="00521A4E">
        <w:rPr>
          <w:rFonts w:cs="Arial"/>
        </w:rPr>
        <w:t xml:space="preserve">, in which case a required size of </w:t>
      </w:r>
      <w:r w:rsidR="00032FD7" w:rsidRPr="00521A4E">
        <w:rPr>
          <w:rFonts w:cs="Arial"/>
          <w:i/>
        </w:rPr>
        <w:t>availabilityCombinations</w:t>
      </w:r>
      <w:r w:rsidR="00032FD7" w:rsidRPr="00521A4E">
        <w:rPr>
          <w:rFonts w:cs="Arial"/>
        </w:rPr>
        <w:t xml:space="preserve"> is traded against a required number of Availability Indicator in a DCI format 2_5</w:t>
      </w:r>
      <w:r w:rsidR="00CD73D2" w:rsidRPr="00521A4E">
        <w:rPr>
          <w:rFonts w:cs="Arial"/>
        </w:rPr>
        <w:t>.</w:t>
      </w:r>
    </w:p>
    <w:p w14:paraId="367A83F2" w14:textId="5B6CD130" w:rsidR="00EF72FD" w:rsidRPr="00521A4E" w:rsidRDefault="006C16E6" w:rsidP="007E3B07">
      <w:pPr>
        <w:pStyle w:val="Proposal"/>
        <w:tabs>
          <w:tab w:val="clear" w:pos="1872"/>
        </w:tabs>
        <w:spacing w:before="240"/>
        <w:ind w:left="1304"/>
        <w:rPr>
          <w:lang w:eastAsia="ja-JP"/>
        </w:rPr>
      </w:pPr>
      <w:bookmarkStart w:id="146" w:name="_Toc87042254"/>
      <w:r w:rsidRPr="00521A4E">
        <w:rPr>
          <w:lang w:eastAsia="ja-JP"/>
        </w:rPr>
        <w:t xml:space="preserve">For explicit availability indication of frequency-domain Soft resources, each </w:t>
      </w:r>
      <w:r w:rsidRPr="00521A4E">
        <w:rPr>
          <w:i/>
          <w:lang w:eastAsia="ja-JP"/>
        </w:rPr>
        <w:t>availabilityCombination</w:t>
      </w:r>
      <w:r w:rsidR="00161943" w:rsidRPr="00521A4E">
        <w:rPr>
          <w:i/>
          <w:lang w:eastAsia="ja-JP"/>
        </w:rPr>
        <w:t>Id</w:t>
      </w:r>
      <w:r w:rsidRPr="00521A4E">
        <w:rPr>
          <w:lang w:eastAsia="ja-JP"/>
        </w:rPr>
        <w:t xml:space="preserve"> of </w:t>
      </w:r>
      <w:r w:rsidRPr="00521A4E">
        <w:rPr>
          <w:i/>
          <w:lang w:eastAsia="ja-JP"/>
        </w:rPr>
        <w:t>availabilityCombinations</w:t>
      </w:r>
      <w:r w:rsidRPr="00521A4E">
        <w:rPr>
          <w:lang w:eastAsia="ja-JP"/>
        </w:rPr>
        <w:t xml:space="preserve"> can indicate availability for </w:t>
      </w:r>
      <w:r w:rsidR="00A77953" w:rsidRPr="00521A4E">
        <w:rPr>
          <w:lang w:eastAsia="ja-JP"/>
        </w:rPr>
        <w:t xml:space="preserve">a </w:t>
      </w:r>
      <w:r w:rsidRPr="00521A4E">
        <w:rPr>
          <w:lang w:eastAsia="ja-JP"/>
        </w:rPr>
        <w:t>single or multiple RB sets.</w:t>
      </w:r>
      <w:bookmarkStart w:id="147" w:name="_Toc77072299"/>
      <w:bookmarkStart w:id="148" w:name="_Toc77072300"/>
      <w:bookmarkEnd w:id="147"/>
      <w:bookmarkEnd w:id="148"/>
      <w:bookmarkEnd w:id="146"/>
    </w:p>
    <w:p w14:paraId="386D0469" w14:textId="166CD562" w:rsidR="00564A85" w:rsidRPr="00521A4E" w:rsidRDefault="006B7B70" w:rsidP="008B71F6">
      <w:pPr>
        <w:pStyle w:val="BodyText"/>
        <w:keepNext/>
        <w:jc w:val="center"/>
      </w:pPr>
      <w:r w:rsidRPr="00521A4E">
        <w:rPr>
          <w:noProof/>
        </w:rPr>
        <w:drawing>
          <wp:inline distT="0" distB="0" distL="0" distR="0" wp14:anchorId="6842E019" wp14:editId="03A5A39F">
            <wp:extent cx="5572125" cy="3558668"/>
            <wp:effectExtent l="0" t="0" r="0" b="381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75120" cy="3560581"/>
                    </a:xfrm>
                    <a:prstGeom prst="rect">
                      <a:avLst/>
                    </a:prstGeom>
                  </pic:spPr>
                </pic:pic>
              </a:graphicData>
            </a:graphic>
          </wp:inline>
        </w:drawing>
      </w:r>
    </w:p>
    <w:p w14:paraId="3ADA9F3A" w14:textId="1E0626A6" w:rsidR="00B479F8" w:rsidRPr="00521A4E" w:rsidRDefault="00564A85" w:rsidP="00F364B7">
      <w:pPr>
        <w:pStyle w:val="Caption"/>
        <w:jc w:val="both"/>
      </w:pPr>
      <w:bookmarkStart w:id="149" w:name="_Ref77177356"/>
      <w:r w:rsidRPr="00521A4E">
        <w:t xml:space="preserve">Figure </w:t>
      </w:r>
      <w:r w:rsidRPr="00521A4E">
        <w:fldChar w:fldCharType="begin"/>
      </w:r>
      <w:r w:rsidRPr="00521A4E">
        <w:instrText xml:space="preserve"> SEQ Figure \* ARABIC </w:instrText>
      </w:r>
      <w:r w:rsidRPr="00521A4E">
        <w:fldChar w:fldCharType="separate"/>
      </w:r>
      <w:r w:rsidR="00F201E9">
        <w:rPr>
          <w:noProof/>
        </w:rPr>
        <w:t>4</w:t>
      </w:r>
      <w:r w:rsidRPr="00521A4E">
        <w:fldChar w:fldCharType="end"/>
      </w:r>
      <w:bookmarkEnd w:id="149"/>
      <w:r w:rsidRPr="00521A4E">
        <w:t xml:space="preserve">: An example of enhancement for frequency domain resource availability </w:t>
      </w:r>
      <w:r w:rsidR="0063697F" w:rsidRPr="00521A4E">
        <w:t>indication</w:t>
      </w:r>
      <w:r w:rsidRPr="00521A4E">
        <w:t xml:space="preserve"> by associating a legacy </w:t>
      </w:r>
      <w:r w:rsidRPr="00521A4E">
        <w:rPr>
          <w:i/>
          <w:iCs/>
        </w:rPr>
        <w:t>availabilityCombinations</w:t>
      </w:r>
      <w:r w:rsidRPr="00521A4E">
        <w:t xml:space="preserve"> to configurable IAB-DU RB-Sets.</w:t>
      </w:r>
    </w:p>
    <w:p w14:paraId="73189895" w14:textId="393ED769" w:rsidR="008F1F8C" w:rsidRPr="00521A4E" w:rsidRDefault="008F1F8C" w:rsidP="007E3B07">
      <w:pPr>
        <w:pStyle w:val="Heading3"/>
        <w:jc w:val="both"/>
        <w:rPr>
          <w:lang w:val="en-US"/>
        </w:rPr>
      </w:pPr>
      <w:r w:rsidRPr="00521A4E">
        <w:rPr>
          <w:lang w:val="en-US"/>
        </w:rPr>
        <w:t>Additional Enhancement on DCI format 2_5</w:t>
      </w:r>
    </w:p>
    <w:p w14:paraId="11A28EA8" w14:textId="77AA75BA" w:rsidR="008F1F8C" w:rsidRPr="00521A4E" w:rsidRDefault="008F1F8C" w:rsidP="007E3B07">
      <w:pPr>
        <w:jc w:val="both"/>
        <w:rPr>
          <w:rFonts w:cs="Arial"/>
          <w:szCs w:val="20"/>
        </w:rPr>
      </w:pPr>
      <w:r w:rsidRPr="00521A4E">
        <w:rPr>
          <w:rFonts w:cs="Arial"/>
          <w:szCs w:val="20"/>
        </w:rPr>
        <w:t xml:space="preserve">In this section we address two additional enhancements </w:t>
      </w:r>
      <w:r w:rsidR="00527877" w:rsidRPr="00521A4E">
        <w:rPr>
          <w:rFonts w:cs="Arial"/>
          <w:szCs w:val="20"/>
        </w:rPr>
        <w:t>which can solve some fundamental limitations in the current design of DCI format 2_5</w:t>
      </w:r>
      <w:r w:rsidRPr="00521A4E">
        <w:rPr>
          <w:rFonts w:cs="Arial"/>
          <w:szCs w:val="20"/>
        </w:rPr>
        <w:t xml:space="preserve">. Our previous contribution </w:t>
      </w:r>
      <w:r w:rsidRPr="00521A4E">
        <w:rPr>
          <w:rFonts w:cs="Arial"/>
          <w:szCs w:val="20"/>
        </w:rPr>
        <w:fldChar w:fldCharType="begin"/>
      </w:r>
      <w:r w:rsidRPr="00521A4E">
        <w:rPr>
          <w:rFonts w:cs="Arial"/>
          <w:szCs w:val="20"/>
        </w:rPr>
        <w:instrText xml:space="preserve"> REF _Ref74242597 \r \h  \* MERGEFORMAT </w:instrText>
      </w:r>
      <w:r w:rsidRPr="00521A4E">
        <w:rPr>
          <w:rFonts w:cs="Arial"/>
          <w:szCs w:val="20"/>
        </w:rPr>
      </w:r>
      <w:r w:rsidRPr="00521A4E">
        <w:rPr>
          <w:rFonts w:cs="Arial"/>
          <w:szCs w:val="20"/>
        </w:rPr>
        <w:fldChar w:fldCharType="separate"/>
      </w:r>
      <w:r w:rsidR="00F201E9">
        <w:rPr>
          <w:rFonts w:cs="Arial"/>
          <w:szCs w:val="20"/>
        </w:rPr>
        <w:t>[11]</w:t>
      </w:r>
      <w:r w:rsidRPr="00521A4E">
        <w:rPr>
          <w:rFonts w:cs="Arial"/>
          <w:szCs w:val="20"/>
        </w:rPr>
        <w:fldChar w:fldCharType="end"/>
      </w:r>
      <w:r w:rsidRPr="00521A4E">
        <w:rPr>
          <w:rFonts w:cs="Arial"/>
          <w:szCs w:val="20"/>
        </w:rPr>
        <w:t xml:space="preserve"> has a discussion on the limitation of the DCI Format 2_5 payload size which does not allow to configure the maximum number (512) of IAB-DU cells</w:t>
      </w:r>
      <w:r w:rsidR="00BD21D6" w:rsidRPr="00521A4E">
        <w:rPr>
          <w:rFonts w:cs="Arial"/>
          <w:szCs w:val="20"/>
        </w:rPr>
        <w:t xml:space="preserve"> </w:t>
      </w:r>
      <w:r w:rsidR="00BD21D6" w:rsidRPr="00521A4E">
        <w:rPr>
          <w:rFonts w:cs="Arial"/>
          <w:szCs w:val="20"/>
        </w:rPr>
        <w:fldChar w:fldCharType="begin"/>
      </w:r>
      <w:r w:rsidR="00BD21D6" w:rsidRPr="00521A4E">
        <w:rPr>
          <w:rFonts w:cs="Arial"/>
          <w:szCs w:val="20"/>
        </w:rPr>
        <w:instrText xml:space="preserve"> REF _Ref74586963 \r \h </w:instrText>
      </w:r>
      <w:r w:rsidR="00BD21D6" w:rsidRPr="00521A4E">
        <w:rPr>
          <w:rFonts w:cs="Arial"/>
          <w:szCs w:val="20"/>
        </w:rPr>
      </w:r>
      <w:r w:rsidR="007E3B07" w:rsidRPr="00521A4E">
        <w:rPr>
          <w:rFonts w:cs="Arial"/>
          <w:szCs w:val="20"/>
        </w:rPr>
        <w:instrText xml:space="preserve"> \* MERGEFORMAT </w:instrText>
      </w:r>
      <w:r w:rsidR="00BD21D6" w:rsidRPr="00521A4E">
        <w:rPr>
          <w:rFonts w:cs="Arial"/>
          <w:szCs w:val="20"/>
        </w:rPr>
        <w:fldChar w:fldCharType="separate"/>
      </w:r>
      <w:r w:rsidR="00F201E9">
        <w:rPr>
          <w:rFonts w:cs="Arial"/>
          <w:szCs w:val="20"/>
        </w:rPr>
        <w:t>[9]</w:t>
      </w:r>
      <w:r w:rsidR="00BD21D6" w:rsidRPr="00521A4E">
        <w:rPr>
          <w:rFonts w:cs="Arial"/>
          <w:szCs w:val="20"/>
        </w:rPr>
        <w:fldChar w:fldCharType="end"/>
      </w:r>
      <w:r w:rsidR="008F2711" w:rsidRPr="00521A4E">
        <w:rPr>
          <w:rFonts w:cs="Arial"/>
          <w:szCs w:val="20"/>
        </w:rPr>
        <w:t>, in fact only a fraction</w:t>
      </w:r>
      <w:r w:rsidRPr="00521A4E">
        <w:rPr>
          <w:rFonts w:cs="Arial"/>
          <w:szCs w:val="20"/>
        </w:rPr>
        <w:t xml:space="preserve">. </w:t>
      </w:r>
      <w:r w:rsidR="00A9667A" w:rsidRPr="00521A4E">
        <w:rPr>
          <w:rFonts w:cs="Arial"/>
          <w:szCs w:val="20"/>
        </w:rPr>
        <w:t xml:space="preserve">We do not see a reason why the number of </w:t>
      </w:r>
      <w:r w:rsidR="00714BDC" w:rsidRPr="00521A4E">
        <w:rPr>
          <w:rFonts w:cs="Arial"/>
          <w:szCs w:val="20"/>
        </w:rPr>
        <w:t xml:space="preserve">manageable </w:t>
      </w:r>
      <w:r w:rsidR="00A9667A" w:rsidRPr="00521A4E">
        <w:rPr>
          <w:rFonts w:cs="Arial"/>
          <w:szCs w:val="20"/>
        </w:rPr>
        <w:t xml:space="preserve">IAB-DU cell should be </w:t>
      </w:r>
      <w:r w:rsidR="008F2711" w:rsidRPr="00521A4E">
        <w:rPr>
          <w:rFonts w:cs="Arial"/>
          <w:szCs w:val="20"/>
        </w:rPr>
        <w:t xml:space="preserve">so </w:t>
      </w:r>
      <w:r w:rsidR="00714BDC" w:rsidRPr="00521A4E">
        <w:rPr>
          <w:rFonts w:cs="Arial"/>
          <w:szCs w:val="20"/>
        </w:rPr>
        <w:t xml:space="preserve">restricted compared to </w:t>
      </w:r>
      <w:r w:rsidR="008F2711" w:rsidRPr="00521A4E">
        <w:rPr>
          <w:rFonts w:cs="Arial"/>
          <w:szCs w:val="20"/>
        </w:rPr>
        <w:t xml:space="preserve">the number of configurable </w:t>
      </w:r>
      <w:r w:rsidR="00714BDC" w:rsidRPr="00521A4E">
        <w:rPr>
          <w:rFonts w:cs="Arial"/>
          <w:szCs w:val="20"/>
        </w:rPr>
        <w:t>gNB-DU cells.</w:t>
      </w:r>
    </w:p>
    <w:p w14:paraId="160991C8" w14:textId="209C918A" w:rsidR="00235219" w:rsidRPr="00521A4E" w:rsidRDefault="008F1F8C" w:rsidP="007E3B07">
      <w:pPr>
        <w:jc w:val="both"/>
        <w:rPr>
          <w:rFonts w:cs="Arial"/>
          <w:szCs w:val="20"/>
        </w:rPr>
      </w:pPr>
      <w:r w:rsidRPr="00521A4E">
        <w:rPr>
          <w:rFonts w:cs="Arial"/>
          <w:szCs w:val="20"/>
        </w:rPr>
        <w:t xml:space="preserve">The current maximum payload size for DCI format 2_5 is specified as 128 bits, see TS 38.212 </w:t>
      </w:r>
      <w:r w:rsidRPr="00521A4E">
        <w:rPr>
          <w:rFonts w:cs="Arial"/>
          <w:szCs w:val="20"/>
        </w:rPr>
        <w:fldChar w:fldCharType="begin"/>
      </w:r>
      <w:r w:rsidRPr="00521A4E">
        <w:rPr>
          <w:rFonts w:cs="Arial"/>
          <w:szCs w:val="20"/>
        </w:rPr>
        <w:instrText xml:space="preserve"> REF _Ref71663095 \r \h  \* MERGEFORMAT </w:instrText>
      </w:r>
      <w:r w:rsidRPr="00521A4E">
        <w:rPr>
          <w:rFonts w:cs="Arial"/>
          <w:szCs w:val="20"/>
        </w:rPr>
      </w:r>
      <w:r w:rsidRPr="00521A4E">
        <w:rPr>
          <w:rFonts w:cs="Arial"/>
          <w:szCs w:val="20"/>
        </w:rPr>
        <w:fldChar w:fldCharType="separate"/>
      </w:r>
      <w:r w:rsidR="00F201E9">
        <w:rPr>
          <w:rFonts w:cs="Arial"/>
          <w:szCs w:val="20"/>
        </w:rPr>
        <w:t>[12]</w:t>
      </w:r>
      <w:r w:rsidRPr="00521A4E">
        <w:rPr>
          <w:rFonts w:cs="Arial"/>
          <w:szCs w:val="20"/>
        </w:rPr>
        <w:fldChar w:fldCharType="end"/>
      </w:r>
      <w:r w:rsidRPr="00521A4E">
        <w:rPr>
          <w:rFonts w:cs="Arial"/>
          <w:szCs w:val="20"/>
        </w:rPr>
        <w:t xml:space="preserve">. At the same time, the maximum size for any DCI is 140 bits due to encoding rules for DCIs; the DCI payload bits are attached </w:t>
      </w:r>
      <w:r w:rsidR="007919DF" w:rsidRPr="00521A4E">
        <w:rPr>
          <w:rFonts w:cs="Arial"/>
          <w:szCs w:val="20"/>
        </w:rPr>
        <w:t>by</w:t>
      </w:r>
      <w:r w:rsidR="00E63DAF" w:rsidRPr="00521A4E">
        <w:rPr>
          <w:rFonts w:cs="Arial"/>
          <w:szCs w:val="20"/>
        </w:rPr>
        <w:t xml:space="preserve"> </w:t>
      </w:r>
      <w:r w:rsidRPr="00521A4E">
        <w:rPr>
          <w:rFonts w:cs="Arial"/>
          <w:szCs w:val="20"/>
        </w:rPr>
        <w:t xml:space="preserve">a 24 bits CRC and together they must fit an interleaving pattern of length 164. On the other side, </w:t>
      </w:r>
      <w:r w:rsidRPr="00521A4E">
        <w:rPr>
          <w:rFonts w:cs="Arial"/>
          <w:szCs w:val="20"/>
        </w:rPr>
        <w:lastRenderedPageBreak/>
        <w:t xml:space="preserve">assuming a maximum extension of </w:t>
      </w:r>
      <w:r w:rsidRPr="00521A4E">
        <w:rPr>
          <w:rFonts w:cs="Arial"/>
          <w:i/>
          <w:szCs w:val="20"/>
        </w:rPr>
        <w:t>availabilityCombinations</w:t>
      </w:r>
      <w:r w:rsidRPr="00521A4E">
        <w:rPr>
          <w:rFonts w:cs="Arial"/>
          <w:szCs w:val="20"/>
        </w:rPr>
        <w:t xml:space="preserve"> of 512 </w:t>
      </w:r>
      <w:r w:rsidRPr="00521A4E">
        <w:rPr>
          <w:rFonts w:cs="Arial"/>
          <w:i/>
          <w:szCs w:val="20"/>
        </w:rPr>
        <w:t>resourceAvailability</w:t>
      </w:r>
      <w:r w:rsidRPr="00521A4E">
        <w:rPr>
          <w:rFonts w:cs="Arial"/>
          <w:szCs w:val="20"/>
        </w:rPr>
        <w:t xml:space="preserve">(s) (requiring encoding of AI-indices in DCI format 2_5 by 9 bits) and considering that the maximum number of IAB-DU cells can be 512, 9*512=4608 bits would be required. Currently, the number of availability indications </w:t>
      </w:r>
      <w:r w:rsidR="007919DF" w:rsidRPr="00521A4E">
        <w:rPr>
          <w:rFonts w:cs="Arial"/>
          <w:szCs w:val="20"/>
        </w:rPr>
        <w:t xml:space="preserve">per DCI format 2_5 </w:t>
      </w:r>
      <w:r w:rsidRPr="00521A4E">
        <w:rPr>
          <w:rFonts w:cs="Arial"/>
          <w:szCs w:val="20"/>
        </w:rPr>
        <w:t>can be limited to 14 (=128/9) IAB-DU cells (of maximum 512 IAB-DU cells). Therefore, it should be considered, at least in Rel-17, to enhance DCI format 2_5 in order to provide availability information for Soft resources for an increased number of IAB-DU cells without the need to</w:t>
      </w:r>
      <w:r w:rsidR="007919DF" w:rsidRPr="00521A4E">
        <w:rPr>
          <w:rFonts w:cs="Arial"/>
          <w:szCs w:val="20"/>
        </w:rPr>
        <w:t>, e.g.,</w:t>
      </w:r>
      <w:r w:rsidRPr="00521A4E">
        <w:rPr>
          <w:rFonts w:cs="Arial"/>
          <w:szCs w:val="20"/>
        </w:rPr>
        <w:t xml:space="preserve"> reconfiguring higher layer parameter </w:t>
      </w:r>
      <w:r w:rsidRPr="00521A4E">
        <w:rPr>
          <w:rFonts w:cs="Arial"/>
          <w:i/>
          <w:szCs w:val="20"/>
        </w:rPr>
        <w:t>AvailabilityIndicator</w:t>
      </w:r>
      <w:r w:rsidR="007919DF" w:rsidRPr="00521A4E">
        <w:rPr>
          <w:rFonts w:cs="Arial"/>
          <w:iCs/>
          <w:szCs w:val="20"/>
        </w:rPr>
        <w:t xml:space="preserve"> (as a dirty work-around)</w:t>
      </w:r>
      <w:r w:rsidR="008A18A6" w:rsidRPr="00521A4E">
        <w:rPr>
          <w:rFonts w:cs="Arial"/>
          <w:iCs/>
          <w:szCs w:val="20"/>
        </w:rPr>
        <w:t xml:space="preserve">, which is a slow process and </w:t>
      </w:r>
      <w:r w:rsidR="00032FD7" w:rsidRPr="00521A4E">
        <w:rPr>
          <w:rFonts w:cs="Arial"/>
          <w:iCs/>
          <w:szCs w:val="20"/>
        </w:rPr>
        <w:t>does rather not substitute</w:t>
      </w:r>
      <w:r w:rsidR="008A18A6" w:rsidRPr="00521A4E">
        <w:rPr>
          <w:rFonts w:cs="Arial"/>
          <w:iCs/>
          <w:szCs w:val="20"/>
        </w:rPr>
        <w:t xml:space="preserve"> </w:t>
      </w:r>
      <w:r w:rsidR="00955D96" w:rsidRPr="00521A4E">
        <w:rPr>
          <w:rFonts w:cs="Arial"/>
          <w:iCs/>
          <w:szCs w:val="20"/>
        </w:rPr>
        <w:t>a proper</w:t>
      </w:r>
      <w:r w:rsidR="008A18A6" w:rsidRPr="00521A4E">
        <w:rPr>
          <w:rFonts w:cs="Arial"/>
          <w:iCs/>
          <w:szCs w:val="20"/>
        </w:rPr>
        <w:t xml:space="preserve"> dynamic signaling</w:t>
      </w:r>
      <w:r w:rsidRPr="00521A4E">
        <w:rPr>
          <w:rFonts w:cs="Arial"/>
          <w:szCs w:val="20"/>
        </w:rPr>
        <w:t xml:space="preserve">. Simply increasing the payload size from 128 to 140 bits can be seen as a first step but would not be sufficient to refer to more than 15 DU cells (=140/9) in certain configurations of </w:t>
      </w:r>
      <w:r w:rsidRPr="00521A4E">
        <w:rPr>
          <w:rFonts w:cs="Arial"/>
          <w:i/>
          <w:szCs w:val="20"/>
        </w:rPr>
        <w:t>availabilityCombinations</w:t>
      </w:r>
      <w:r w:rsidRPr="00521A4E">
        <w:rPr>
          <w:rFonts w:cs="Arial"/>
          <w:szCs w:val="20"/>
        </w:rPr>
        <w:t xml:space="preserve">. It is certainly not sufficient to cover the flexibility in size of </w:t>
      </w:r>
      <w:r w:rsidRPr="00521A4E">
        <w:rPr>
          <w:rFonts w:cs="Arial"/>
          <w:i/>
          <w:szCs w:val="20"/>
        </w:rPr>
        <w:t>availabilityCombinations</w:t>
      </w:r>
      <w:r w:rsidRPr="00521A4E">
        <w:rPr>
          <w:rFonts w:cs="Arial"/>
          <w:szCs w:val="20"/>
        </w:rPr>
        <w:t xml:space="preserve"> and possible number of DU cell.</w:t>
      </w:r>
    </w:p>
    <w:p w14:paraId="4DFF01BE" w14:textId="2E03864A" w:rsidR="00A73410" w:rsidRPr="00521A4E" w:rsidRDefault="008A18A6" w:rsidP="007E3B07">
      <w:pPr>
        <w:pStyle w:val="Observation"/>
        <w:rPr>
          <w:rFonts w:cs="Arial"/>
          <w:szCs w:val="20"/>
        </w:rPr>
      </w:pPr>
      <w:bookmarkStart w:id="150" w:name="_Toc87042228"/>
      <w:r w:rsidRPr="00521A4E">
        <w:t>In the current DCI format 2_5, the number of availability indication can be limited to 14 IAB-DU cells, of maximum 512 IAB-DU cells.</w:t>
      </w:r>
      <w:bookmarkStart w:id="151" w:name="_Toc84008842"/>
      <w:bookmarkEnd w:id="151"/>
      <w:bookmarkEnd w:id="150"/>
    </w:p>
    <w:p w14:paraId="462ED30D" w14:textId="21AFBEF4" w:rsidR="00833552" w:rsidRPr="00521A4E" w:rsidRDefault="00833552" w:rsidP="007E3B07">
      <w:pPr>
        <w:jc w:val="both"/>
      </w:pPr>
      <w:r w:rsidRPr="00521A4E">
        <w:t>One way to overcome the abovementioned problem is to add a group index in an enhanced DCI 2_</w:t>
      </w:r>
      <w:r w:rsidR="00F62E9C" w:rsidRPr="00521A4E">
        <w:t xml:space="preserve">5 where one group index is associated to a </w:t>
      </w:r>
      <w:r w:rsidR="00F10AD7" w:rsidRPr="00521A4E">
        <w:t>group (</w:t>
      </w:r>
      <w:r w:rsidR="00F62E9C" w:rsidRPr="00521A4E">
        <w:t>set</w:t>
      </w:r>
      <w:r w:rsidR="00F10AD7" w:rsidRPr="00521A4E">
        <w:t>)</w:t>
      </w:r>
      <w:r w:rsidR="00F62E9C" w:rsidRPr="00521A4E">
        <w:t xml:space="preserve"> of IAB-DU cells</w:t>
      </w:r>
      <w:r w:rsidRPr="00521A4E">
        <w:t xml:space="preserve">. As illustrated in </w:t>
      </w:r>
      <w:r w:rsidRPr="00521A4E">
        <w:fldChar w:fldCharType="begin"/>
      </w:r>
      <w:r w:rsidRPr="00521A4E">
        <w:instrText xml:space="preserve"> REF _Ref86053631 \h </w:instrText>
      </w:r>
      <w:r w:rsidR="007E3B07" w:rsidRPr="00521A4E">
        <w:instrText xml:space="preserve"> \* MERGEFORMAT </w:instrText>
      </w:r>
      <w:r w:rsidRPr="00521A4E">
        <w:fldChar w:fldCharType="separate"/>
      </w:r>
      <w:r w:rsidR="00F201E9" w:rsidRPr="00521A4E">
        <w:t xml:space="preserve">Figure </w:t>
      </w:r>
      <w:r w:rsidR="00F201E9">
        <w:rPr>
          <w:noProof/>
        </w:rPr>
        <w:t>5</w:t>
      </w:r>
      <w:r w:rsidRPr="00521A4E">
        <w:fldChar w:fldCharType="end"/>
      </w:r>
      <w:r w:rsidRPr="00521A4E">
        <w:t>, the number of the group indexing bits, irrespective of any maximum DCI format 2_5 size, should fulfil the following requirement:</w:t>
      </w:r>
    </w:p>
    <w:p w14:paraId="58438758" w14:textId="33167689" w:rsidR="00F541D7" w:rsidRPr="00521A4E" w:rsidRDefault="007919DF" w:rsidP="00F068F2">
      <w:pPr>
        <w:jc w:val="center"/>
      </w:pPr>
      <m:oMath>
        <m:r>
          <m:rPr>
            <m:sty m:val="p"/>
          </m:rPr>
          <w:rPr>
            <w:rFonts w:ascii="Cambria Math" w:hAnsi="Cambria Math"/>
          </w:rPr>
          <m:t>(# of bits)</m:t>
        </m:r>
      </m:oMath>
      <w:r w:rsidRPr="00521A4E">
        <w:t xml:space="preserve"> for </w:t>
      </w:r>
      <w:r w:rsidR="00833552" w:rsidRPr="00521A4E">
        <w:t xml:space="preserve">AI-indices + </w:t>
      </w:r>
      <m:oMath>
        <m:r>
          <m:rPr>
            <m:sty m:val="p"/>
          </m:rPr>
          <w:rPr>
            <w:rFonts w:ascii="Cambria Math" w:hAnsi="Cambria Math"/>
          </w:rPr>
          <m:t>(# of bits)</m:t>
        </m:r>
      </m:oMath>
      <w:r w:rsidR="00F10AD7" w:rsidRPr="00521A4E">
        <w:t xml:space="preserve"> for</w:t>
      </w:r>
      <w:r w:rsidR="00833552" w:rsidRPr="00521A4E">
        <w:t xml:space="preserve"> group indexing </w:t>
      </w:r>
      <m:oMath>
        <m:r>
          <w:rPr>
            <w:rFonts w:ascii="Cambria Math" w:hAnsi="Cambria Math"/>
          </w:rPr>
          <m:t>≤</m:t>
        </m:r>
      </m:oMath>
      <w:r w:rsidR="00833552" w:rsidRPr="00521A4E">
        <w:t xml:space="preserve"> 140 bits</w:t>
      </w:r>
    </w:p>
    <w:p w14:paraId="7385C099" w14:textId="7FCE4590" w:rsidR="00F541D7" w:rsidRPr="00521A4E" w:rsidRDefault="00833552" w:rsidP="007E3B07">
      <w:pPr>
        <w:jc w:val="both"/>
      </w:pPr>
      <w:r w:rsidRPr="00521A4E">
        <w:t>The introduction of group indexing of AI-indices allows to create a multitude of groups of AI-indices</w:t>
      </w:r>
      <w:r w:rsidR="00F10AD7" w:rsidRPr="00521A4E">
        <w:t xml:space="preserve"> associated, by the group indexing bit, to a group of IAB-DU cells</w:t>
      </w:r>
      <w:r w:rsidRPr="00521A4E">
        <w:t>. Each AI-index in a DCI format 2_5 should be uniquely associated to an IAB-DU cell through a specific combination of position in a DCI 2_5</w:t>
      </w:r>
      <w:r w:rsidR="00F62E9C" w:rsidRPr="00521A4E">
        <w:t xml:space="preserve"> and the group index</w:t>
      </w:r>
      <w:r w:rsidR="005C2E56" w:rsidRPr="00521A4E">
        <w:t>.</w:t>
      </w:r>
      <w:r w:rsidR="00461FDA" w:rsidRPr="00521A4E">
        <w:t xml:space="preserve"> For example, by adding 6 indexing bits, the number of IAB-DU cells that can be configured using all index groups can be extended to 896</w:t>
      </w:r>
      <w:r w:rsidR="00F10AD7" w:rsidRPr="00521A4E">
        <w:t xml:space="preserve"> (64 groups times 14 </w:t>
      </w:r>
      <w:r w:rsidR="00CA5591" w:rsidRPr="00521A4E">
        <w:t>IAB-D</w:t>
      </w:r>
      <w:r w:rsidR="00F10AD7" w:rsidRPr="00521A4E">
        <w:t>U cells per group)</w:t>
      </w:r>
      <w:r w:rsidR="00461FDA" w:rsidRPr="00521A4E">
        <w:t>.</w:t>
      </w:r>
    </w:p>
    <w:p w14:paraId="7ED59A1F" w14:textId="36394B6B" w:rsidR="00F200BC" w:rsidRPr="00521A4E" w:rsidRDefault="00F200BC" w:rsidP="008B71F6">
      <w:pPr>
        <w:keepNext/>
        <w:jc w:val="center"/>
      </w:pPr>
      <w:r w:rsidRPr="00521A4E">
        <w:rPr>
          <w:noProof/>
        </w:rPr>
        <w:drawing>
          <wp:inline distT="0" distB="0" distL="0" distR="0" wp14:anchorId="4F0F126D" wp14:editId="26B61383">
            <wp:extent cx="6120765" cy="254444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544445"/>
                    </a:xfrm>
                    <a:prstGeom prst="rect">
                      <a:avLst/>
                    </a:prstGeom>
                  </pic:spPr>
                </pic:pic>
              </a:graphicData>
            </a:graphic>
          </wp:inline>
        </w:drawing>
      </w:r>
    </w:p>
    <w:p w14:paraId="73140DD1" w14:textId="24F5A65D" w:rsidR="00F541D7" w:rsidRPr="00521A4E" w:rsidRDefault="00F541D7" w:rsidP="008B71F6">
      <w:pPr>
        <w:pStyle w:val="Caption"/>
        <w:jc w:val="center"/>
      </w:pPr>
      <w:bookmarkStart w:id="152" w:name="_Ref86053631"/>
      <w:r w:rsidRPr="00521A4E">
        <w:t xml:space="preserve">Figure </w:t>
      </w:r>
      <w:r w:rsidRPr="00521A4E">
        <w:fldChar w:fldCharType="begin"/>
      </w:r>
      <w:r w:rsidRPr="00521A4E">
        <w:instrText xml:space="preserve"> SEQ Figure \* ARABIC </w:instrText>
      </w:r>
      <w:r w:rsidRPr="00521A4E">
        <w:fldChar w:fldCharType="separate"/>
      </w:r>
      <w:r w:rsidR="00F201E9">
        <w:rPr>
          <w:noProof/>
        </w:rPr>
        <w:t>5</w:t>
      </w:r>
      <w:r w:rsidRPr="00521A4E">
        <w:fldChar w:fldCharType="end"/>
      </w:r>
      <w:bookmarkEnd w:id="152"/>
      <w:r w:rsidRPr="00521A4E">
        <w:t>: Enhanced DCI format 2_5 by adding indexing bits.</w:t>
      </w:r>
    </w:p>
    <w:p w14:paraId="1FCA99DA" w14:textId="77777777" w:rsidR="00F541D7" w:rsidRPr="00521A4E" w:rsidRDefault="00F541D7" w:rsidP="007E3B07">
      <w:pPr>
        <w:jc w:val="both"/>
      </w:pPr>
    </w:p>
    <w:p w14:paraId="1A95AC4F" w14:textId="77777777" w:rsidR="00671759" w:rsidRPr="00521A4E" w:rsidRDefault="008F1F8C" w:rsidP="00F364B7">
      <w:pPr>
        <w:pStyle w:val="Proposal"/>
        <w:tabs>
          <w:tab w:val="clear" w:pos="1872"/>
        </w:tabs>
        <w:ind w:left="1304"/>
        <w:rPr>
          <w:lang w:eastAsia="ja-JP"/>
        </w:rPr>
      </w:pPr>
      <w:bookmarkStart w:id="153" w:name="_Toc87042255"/>
      <w:r w:rsidRPr="00521A4E">
        <w:rPr>
          <w:lang w:eastAsia="ja-JP"/>
        </w:rPr>
        <w:t>Rel-17 enhancement on DCI format 2_5 should at least consider extension of the maximum payload size of DCI format 2_5 to increase the number of IAB-DU cells that can be provided with availability information for Soft resources.</w:t>
      </w:r>
      <w:bookmarkEnd w:id="153"/>
    </w:p>
    <w:p w14:paraId="67070EF6" w14:textId="7790BCBC" w:rsidR="008F1F8C" w:rsidRPr="00521A4E" w:rsidRDefault="00671759" w:rsidP="00F364B7">
      <w:pPr>
        <w:pStyle w:val="Proposal"/>
        <w:tabs>
          <w:tab w:val="clear" w:pos="1872"/>
        </w:tabs>
        <w:ind w:left="1304"/>
        <w:rPr>
          <w:lang w:eastAsia="ja-JP"/>
        </w:rPr>
      </w:pPr>
      <w:bookmarkStart w:id="154" w:name="_Toc87042256"/>
      <w:r w:rsidRPr="00521A4E">
        <w:rPr>
          <w:lang w:eastAsia="ja-JP"/>
        </w:rPr>
        <w:t xml:space="preserve">Introducing group indexing bits in DCI format 2_5 to </w:t>
      </w:r>
      <w:r w:rsidR="008F1F8C" w:rsidRPr="00521A4E">
        <w:rPr>
          <w:lang w:eastAsia="ja-JP"/>
        </w:rPr>
        <w:t>further increase the number of IAB-DU cells that can be indicated AI.</w:t>
      </w:r>
      <w:bookmarkEnd w:id="154"/>
    </w:p>
    <w:p w14:paraId="14D5EB55" w14:textId="2EBA2309" w:rsidR="008F1F8C" w:rsidRPr="00521A4E" w:rsidRDefault="008F1F8C" w:rsidP="007E3B07">
      <w:pPr>
        <w:pStyle w:val="TF"/>
        <w:jc w:val="both"/>
        <w:rPr>
          <w:rFonts w:eastAsiaTheme="minorEastAsia" w:cs="Arial"/>
          <w:b w:val="0"/>
          <w:spacing w:val="2"/>
          <w:szCs w:val="20"/>
          <w:lang w:val="en-US"/>
        </w:rPr>
      </w:pPr>
      <w:r w:rsidRPr="00521A4E">
        <w:rPr>
          <w:rFonts w:cs="Arial"/>
          <w:b w:val="0"/>
          <w:szCs w:val="20"/>
          <w:lang w:val="en-US"/>
        </w:rPr>
        <w:lastRenderedPageBreak/>
        <w:t xml:space="preserve">Our </w:t>
      </w:r>
      <w:r w:rsidR="005B53AF" w:rsidRPr="00521A4E">
        <w:rPr>
          <w:rFonts w:cs="Arial"/>
          <w:b w:val="0"/>
          <w:szCs w:val="20"/>
          <w:lang w:val="en-US"/>
        </w:rPr>
        <w:t>earlier</w:t>
      </w:r>
      <w:r w:rsidRPr="00521A4E">
        <w:rPr>
          <w:rFonts w:cs="Arial"/>
          <w:b w:val="0"/>
          <w:szCs w:val="20"/>
          <w:lang w:val="en-US"/>
        </w:rPr>
        <w:t xml:space="preserve"> contribution </w:t>
      </w:r>
      <w:r w:rsidR="006A6226" w:rsidRPr="00521A4E">
        <w:rPr>
          <w:rFonts w:cs="Arial"/>
          <w:b w:val="0"/>
          <w:szCs w:val="20"/>
          <w:lang w:val="en-US"/>
        </w:rPr>
        <w:fldChar w:fldCharType="begin"/>
      </w:r>
      <w:r w:rsidR="006A6226" w:rsidRPr="00521A4E">
        <w:rPr>
          <w:rFonts w:cs="Arial"/>
          <w:b w:val="0"/>
          <w:szCs w:val="20"/>
          <w:lang w:val="en-US"/>
        </w:rPr>
        <w:instrText xml:space="preserve"> REF _Ref81601641 \r \h </w:instrText>
      </w:r>
      <w:r w:rsidR="00AA3979" w:rsidRPr="00521A4E">
        <w:rPr>
          <w:rFonts w:cs="Arial"/>
          <w:b w:val="0"/>
          <w:szCs w:val="20"/>
          <w:lang w:val="en-US"/>
        </w:rPr>
        <w:instrText xml:space="preserve"> \* MERGEFORMAT </w:instrText>
      </w:r>
      <w:r w:rsidR="006A6226" w:rsidRPr="00521A4E">
        <w:rPr>
          <w:rFonts w:cs="Arial"/>
          <w:b w:val="0"/>
          <w:szCs w:val="20"/>
          <w:lang w:val="en-US"/>
        </w:rPr>
      </w:r>
      <w:r w:rsidR="006A6226" w:rsidRPr="00521A4E">
        <w:rPr>
          <w:rFonts w:cs="Arial"/>
          <w:b w:val="0"/>
          <w:szCs w:val="20"/>
          <w:lang w:val="en-US"/>
        </w:rPr>
        <w:fldChar w:fldCharType="separate"/>
      </w:r>
      <w:r w:rsidR="00F201E9">
        <w:rPr>
          <w:rFonts w:cs="Arial"/>
          <w:b w:val="0"/>
          <w:szCs w:val="20"/>
          <w:lang w:val="en-US"/>
        </w:rPr>
        <w:t>[13]</w:t>
      </w:r>
      <w:r w:rsidR="006A6226" w:rsidRPr="00521A4E">
        <w:rPr>
          <w:rFonts w:cs="Arial"/>
          <w:b w:val="0"/>
          <w:szCs w:val="20"/>
          <w:lang w:val="en-US"/>
        </w:rPr>
        <w:fldChar w:fldCharType="end"/>
      </w:r>
      <w:r w:rsidRPr="00521A4E">
        <w:rPr>
          <w:rFonts w:cs="Arial"/>
          <w:b w:val="0"/>
          <w:szCs w:val="20"/>
          <w:lang w:val="en-US"/>
        </w:rPr>
        <w:t xml:space="preserve"> addresses an ambiguity issue when a soft resource receives multiple DCI format 2_5 indications from the same parent IAB-node. According to TS 38.213 </w:t>
      </w:r>
      <w:r w:rsidR="0085065D" w:rsidRPr="00521A4E">
        <w:rPr>
          <w:rFonts w:cs="Arial"/>
          <w:b w:val="0"/>
          <w:szCs w:val="20"/>
          <w:lang w:val="en-US"/>
        </w:rPr>
        <w:fldChar w:fldCharType="begin"/>
      </w:r>
      <w:r w:rsidR="0085065D" w:rsidRPr="00521A4E">
        <w:rPr>
          <w:rFonts w:cs="Arial"/>
          <w:b w:val="0"/>
          <w:szCs w:val="20"/>
          <w:lang w:val="en-US"/>
        </w:rPr>
        <w:instrText xml:space="preserve"> REF _Ref71662548 \r \h </w:instrText>
      </w:r>
      <w:r w:rsidR="0085065D" w:rsidRPr="00521A4E">
        <w:rPr>
          <w:rFonts w:cs="Arial"/>
          <w:b w:val="0"/>
          <w:szCs w:val="20"/>
          <w:lang w:val="en-US"/>
        </w:rPr>
      </w:r>
      <w:r w:rsidR="007E3B07" w:rsidRPr="00521A4E">
        <w:rPr>
          <w:rFonts w:cs="Arial"/>
          <w:b w:val="0"/>
          <w:szCs w:val="20"/>
          <w:lang w:val="en-US"/>
        </w:rPr>
        <w:instrText xml:space="preserve"> \* MERGEFORMAT </w:instrText>
      </w:r>
      <w:r w:rsidR="0085065D" w:rsidRPr="00521A4E">
        <w:rPr>
          <w:rFonts w:cs="Arial"/>
          <w:b w:val="0"/>
          <w:szCs w:val="20"/>
          <w:lang w:val="en-US"/>
        </w:rPr>
        <w:fldChar w:fldCharType="separate"/>
      </w:r>
      <w:r w:rsidR="00F201E9">
        <w:rPr>
          <w:rFonts w:cs="Arial"/>
          <w:b w:val="0"/>
          <w:szCs w:val="20"/>
          <w:lang w:val="en-US"/>
        </w:rPr>
        <w:t>[7]</w:t>
      </w:r>
      <w:r w:rsidR="0085065D" w:rsidRPr="00521A4E">
        <w:rPr>
          <w:rFonts w:cs="Arial"/>
          <w:b w:val="0"/>
          <w:szCs w:val="20"/>
          <w:lang w:val="en-US"/>
        </w:rPr>
        <w:fldChar w:fldCharType="end"/>
      </w:r>
      <w:r w:rsidRPr="00521A4E">
        <w:rPr>
          <w:rFonts w:cs="Arial"/>
          <w:b w:val="0"/>
          <w:szCs w:val="20"/>
          <w:lang w:val="en-US"/>
        </w:rPr>
        <w:t xml:space="preserve"> and TS 38.331 </w:t>
      </w:r>
      <w:r w:rsidR="0085065D" w:rsidRPr="00521A4E">
        <w:rPr>
          <w:rFonts w:cs="Arial"/>
          <w:b w:val="0"/>
          <w:szCs w:val="20"/>
          <w:lang w:val="en-US"/>
        </w:rPr>
        <w:fldChar w:fldCharType="begin"/>
      </w:r>
      <w:r w:rsidR="0085065D" w:rsidRPr="00521A4E">
        <w:rPr>
          <w:rFonts w:cs="Arial"/>
          <w:b w:val="0"/>
          <w:szCs w:val="20"/>
          <w:lang w:val="en-US"/>
        </w:rPr>
        <w:instrText xml:space="preserve"> REF _Ref86922828 \r \h </w:instrText>
      </w:r>
      <w:r w:rsidR="0085065D" w:rsidRPr="00521A4E">
        <w:rPr>
          <w:rFonts w:cs="Arial"/>
          <w:b w:val="0"/>
          <w:szCs w:val="20"/>
          <w:lang w:val="en-US"/>
        </w:rPr>
      </w:r>
      <w:r w:rsidR="007E3B07" w:rsidRPr="00521A4E">
        <w:rPr>
          <w:rFonts w:cs="Arial"/>
          <w:b w:val="0"/>
          <w:szCs w:val="20"/>
          <w:lang w:val="en-US"/>
        </w:rPr>
        <w:instrText xml:space="preserve"> \* MERGEFORMAT </w:instrText>
      </w:r>
      <w:r w:rsidR="0085065D" w:rsidRPr="00521A4E">
        <w:rPr>
          <w:rFonts w:cs="Arial"/>
          <w:b w:val="0"/>
          <w:szCs w:val="20"/>
          <w:lang w:val="en-US"/>
        </w:rPr>
        <w:fldChar w:fldCharType="separate"/>
      </w:r>
      <w:r w:rsidR="00F201E9">
        <w:rPr>
          <w:rFonts w:cs="Arial"/>
          <w:b w:val="0"/>
          <w:szCs w:val="20"/>
          <w:lang w:val="en-US"/>
        </w:rPr>
        <w:t>[14]</w:t>
      </w:r>
      <w:r w:rsidR="0085065D" w:rsidRPr="00521A4E">
        <w:rPr>
          <w:rFonts w:cs="Arial"/>
          <w:b w:val="0"/>
          <w:szCs w:val="20"/>
          <w:lang w:val="en-US"/>
        </w:rPr>
        <w:fldChar w:fldCharType="end"/>
      </w:r>
      <w:r w:rsidRPr="00521A4E">
        <w:rPr>
          <w:rFonts w:cs="Arial"/>
          <w:b w:val="0"/>
          <w:szCs w:val="20"/>
          <w:lang w:val="en-US"/>
        </w:rPr>
        <w:t xml:space="preserve">, </w:t>
      </w:r>
      <w:r w:rsidRPr="00521A4E">
        <w:rPr>
          <w:rStyle w:val="IvDbodytextChar"/>
          <w:b w:val="0"/>
          <w:sz w:val="20"/>
          <w:szCs w:val="20"/>
          <w:lang w:val="en-US"/>
        </w:rPr>
        <w:t xml:space="preserve">the </w:t>
      </w:r>
      <w:r w:rsidRPr="00521A4E">
        <w:rPr>
          <w:rStyle w:val="IvDbodytextChar"/>
          <w:b w:val="0"/>
          <w:i/>
          <w:sz w:val="20"/>
          <w:szCs w:val="20"/>
          <w:lang w:val="en-US"/>
        </w:rPr>
        <w:t xml:space="preserve">resourceAvailability-r16 </w:t>
      </w:r>
      <w:r w:rsidRPr="00521A4E">
        <w:rPr>
          <w:rStyle w:val="IvDbodytextChar"/>
          <w:b w:val="0"/>
          <w:sz w:val="20"/>
          <w:szCs w:val="20"/>
          <w:lang w:val="en-US"/>
        </w:rPr>
        <w:t xml:space="preserve">in </w:t>
      </w:r>
      <w:r w:rsidRPr="00521A4E">
        <w:rPr>
          <w:rStyle w:val="IvDbodytextChar"/>
          <w:b w:val="0"/>
          <w:i/>
          <w:sz w:val="20"/>
          <w:szCs w:val="20"/>
          <w:lang w:val="en-US"/>
        </w:rPr>
        <w:t>AvailabilityCombination-r16</w:t>
      </w:r>
      <w:r w:rsidRPr="00521A4E">
        <w:rPr>
          <w:rStyle w:val="IvDbodytextChar"/>
          <w:b w:val="0"/>
          <w:sz w:val="20"/>
          <w:szCs w:val="20"/>
          <w:lang w:val="en-US"/>
        </w:rPr>
        <w:t xml:space="preserve"> can have a length between 1 to 256 (</w:t>
      </w:r>
      <w:r w:rsidRPr="00521A4E">
        <w:rPr>
          <w:rStyle w:val="IvDbodytextChar"/>
          <w:b w:val="0"/>
          <w:i/>
          <w:sz w:val="20"/>
          <w:szCs w:val="20"/>
          <w:lang w:val="en-US"/>
        </w:rPr>
        <w:t>maxNrofResourceAvailabilityPerCombination-16</w:t>
      </w:r>
      <w:r w:rsidRPr="00521A4E">
        <w:rPr>
          <w:rStyle w:val="IvDbodytextChar"/>
          <w:b w:val="0"/>
          <w:sz w:val="20"/>
          <w:szCs w:val="20"/>
          <w:lang w:val="en-US"/>
        </w:rPr>
        <w:t xml:space="preserve">) elements, i.e., the AI index in the DCI format 2_5 can provide, for different IAB-DU cells, explicit availability indication for different numbers of resource slots. TS 38.213 states also that the DCI format 2_5 is “starting from the earliest slot of the IAB-DU which overlaps in </w:t>
      </w:r>
      <w:r w:rsidRPr="00521A4E">
        <w:rPr>
          <w:lang w:val="en-US"/>
        </w:rPr>
        <w:t>time with the slot of the IAB-MT where the IAB-MT detects the DCI format 2_5</w:t>
      </w:r>
      <w:r w:rsidRPr="00521A4E">
        <w:rPr>
          <w:b w:val="0"/>
          <w:lang w:val="en-US"/>
        </w:rPr>
        <w:t>”. Since</w:t>
      </w:r>
      <w:r w:rsidRPr="00521A4E">
        <w:rPr>
          <w:lang w:val="en-US"/>
        </w:rPr>
        <w:t xml:space="preserve"> the DCI format 2_5 indication </w:t>
      </w:r>
      <w:r w:rsidRPr="00521A4E">
        <w:rPr>
          <w:b w:val="0"/>
          <w:lang w:val="en-US"/>
        </w:rPr>
        <w:t xml:space="preserve">provides information for a predefined set </w:t>
      </w:r>
      <w:r w:rsidR="00B6676D" w:rsidRPr="00521A4E">
        <w:rPr>
          <w:lang w:val="en-US"/>
        </w:rPr>
        <w:t>and</w:t>
      </w:r>
      <w:r w:rsidR="00B6676D" w:rsidRPr="00521A4E">
        <w:rPr>
          <w:bCs/>
          <w:lang w:val="en-US"/>
        </w:rPr>
        <w:t xml:space="preserve"> </w:t>
      </w:r>
      <w:r w:rsidR="0006071C" w:rsidRPr="00521A4E">
        <w:rPr>
          <w:bCs/>
          <w:lang w:val="en-US"/>
        </w:rPr>
        <w:t>in a given</w:t>
      </w:r>
      <w:r w:rsidR="00B6676D" w:rsidRPr="00521A4E">
        <w:rPr>
          <w:lang w:val="en-US"/>
        </w:rPr>
        <w:t xml:space="preserve"> order</w:t>
      </w:r>
      <w:r w:rsidRPr="00521A4E">
        <w:rPr>
          <w:b w:val="0"/>
          <w:lang w:val="en-US"/>
        </w:rPr>
        <w:t xml:space="preserve"> of IAB-DU cells, availability indication becomes effective for all these IAB-DU cells at the same time.</w:t>
      </w:r>
      <w:r w:rsidRPr="00521A4E">
        <w:rPr>
          <w:rStyle w:val="IvDbodytextChar"/>
          <w:b w:val="0"/>
          <w:sz w:val="20"/>
          <w:szCs w:val="20"/>
          <w:lang w:val="en-US"/>
        </w:rPr>
        <w:t xml:space="preserve"> </w:t>
      </w:r>
      <w:r w:rsidR="00056BFC" w:rsidRPr="00521A4E">
        <w:rPr>
          <w:rStyle w:val="IvDbodytextChar"/>
          <w:b w:val="0"/>
          <w:sz w:val="20"/>
          <w:szCs w:val="20"/>
          <w:lang w:val="en-US"/>
        </w:rPr>
        <w:t xml:space="preserve">Just </w:t>
      </w:r>
      <w:r w:rsidRPr="00521A4E">
        <w:rPr>
          <w:rStyle w:val="IvDbodytextChar"/>
          <w:b w:val="0"/>
          <w:sz w:val="20"/>
          <w:szCs w:val="20"/>
          <w:lang w:val="en-US"/>
        </w:rPr>
        <w:t>because the AI indication for a</w:t>
      </w:r>
      <w:r w:rsidR="00056BFC" w:rsidRPr="00521A4E">
        <w:rPr>
          <w:rStyle w:val="IvDbodytextChar"/>
          <w:b w:val="0"/>
          <w:sz w:val="20"/>
          <w:szCs w:val="20"/>
          <w:lang w:val="en-US"/>
        </w:rPr>
        <w:t xml:space="preserve"> certain</w:t>
      </w:r>
      <w:r w:rsidRPr="00521A4E">
        <w:rPr>
          <w:rStyle w:val="IvDbodytextChar"/>
          <w:b w:val="0"/>
          <w:sz w:val="20"/>
          <w:szCs w:val="20"/>
          <w:lang w:val="en-US"/>
        </w:rPr>
        <w:t xml:space="preserve"> cell</w:t>
      </w:r>
      <w:r w:rsidR="00B6676D" w:rsidRPr="00521A4E">
        <w:rPr>
          <w:rStyle w:val="IvDbodytextChar"/>
          <w:b w:val="0"/>
          <w:sz w:val="20"/>
          <w:szCs w:val="20"/>
          <w:lang w:val="en-US"/>
        </w:rPr>
        <w:t xml:space="preserve"> referenced to at the end in DCI format 2_5</w:t>
      </w:r>
      <w:r w:rsidRPr="00521A4E">
        <w:rPr>
          <w:rStyle w:val="IvDbodytextChar"/>
          <w:b w:val="0"/>
          <w:sz w:val="20"/>
          <w:szCs w:val="20"/>
          <w:lang w:val="en-US"/>
        </w:rPr>
        <w:t xml:space="preserve"> is </w:t>
      </w:r>
      <w:r w:rsidR="00056BFC" w:rsidRPr="00521A4E">
        <w:rPr>
          <w:rStyle w:val="IvDbodytextChar"/>
          <w:b w:val="0"/>
          <w:sz w:val="20"/>
          <w:szCs w:val="20"/>
          <w:lang w:val="en-US"/>
        </w:rPr>
        <w:t xml:space="preserve">to be </w:t>
      </w:r>
      <w:r w:rsidRPr="00521A4E">
        <w:rPr>
          <w:rStyle w:val="IvDbodytextChar"/>
          <w:b w:val="0"/>
          <w:sz w:val="20"/>
          <w:szCs w:val="20"/>
          <w:lang w:val="en-US"/>
        </w:rPr>
        <w:t>updated</w:t>
      </w:r>
      <w:r w:rsidR="00056BFC" w:rsidRPr="00521A4E">
        <w:rPr>
          <w:rStyle w:val="IvDbodytextChar"/>
          <w:b w:val="0"/>
          <w:sz w:val="20"/>
          <w:szCs w:val="20"/>
          <w:lang w:val="en-US"/>
        </w:rPr>
        <w:t xml:space="preserve">, all cells with an assigned position in DCI format 2_5 before this cell </w:t>
      </w:r>
      <w:r w:rsidR="00E812CC" w:rsidRPr="00521A4E">
        <w:rPr>
          <w:rStyle w:val="IvDbodytextChar"/>
          <w:b w:val="0"/>
          <w:sz w:val="20"/>
          <w:szCs w:val="20"/>
          <w:lang w:val="en-US"/>
        </w:rPr>
        <w:t xml:space="preserve">would potentially </w:t>
      </w:r>
      <w:r w:rsidR="00056BFC" w:rsidRPr="00521A4E">
        <w:rPr>
          <w:rStyle w:val="IvDbodytextChar"/>
          <w:b w:val="0"/>
          <w:sz w:val="20"/>
          <w:szCs w:val="20"/>
          <w:lang w:val="en-US"/>
        </w:rPr>
        <w:t xml:space="preserve">receive </w:t>
      </w:r>
      <w:r w:rsidR="00E812CC" w:rsidRPr="00521A4E">
        <w:rPr>
          <w:rStyle w:val="IvDbodytextChar"/>
          <w:b w:val="0"/>
          <w:sz w:val="20"/>
          <w:szCs w:val="20"/>
          <w:lang w:val="en-US"/>
        </w:rPr>
        <w:t xml:space="preserve">two or </w:t>
      </w:r>
      <w:r w:rsidR="00056BFC" w:rsidRPr="00521A4E">
        <w:rPr>
          <w:rStyle w:val="IvDbodytextChar"/>
          <w:b w:val="0"/>
          <w:sz w:val="20"/>
          <w:szCs w:val="20"/>
          <w:lang w:val="en-US"/>
        </w:rPr>
        <w:t>multiple DCI format 2_5 indications</w:t>
      </w:r>
      <w:r w:rsidRPr="00521A4E">
        <w:rPr>
          <w:rStyle w:val="IvDbodytextChar"/>
          <w:b w:val="0"/>
          <w:sz w:val="20"/>
          <w:szCs w:val="20"/>
          <w:lang w:val="en-US"/>
        </w:rPr>
        <w:t xml:space="preserve">. The current specification states that </w:t>
      </w:r>
      <w:r w:rsidRPr="00521A4E">
        <w:rPr>
          <w:b w:val="0"/>
          <w:szCs w:val="20"/>
          <w:lang w:val="en-US"/>
        </w:rPr>
        <w:t xml:space="preserve">the receiving IAB-MT expects that each of the more than one DCI formats 2_5 indicates the same value and leaves it for implementation, out of control of the indicating parent node. </w:t>
      </w:r>
      <w:r w:rsidRPr="00521A4E">
        <w:rPr>
          <w:rFonts w:cs="Arial"/>
          <w:b w:val="0"/>
          <w:szCs w:val="20"/>
          <w:lang w:val="en-US"/>
        </w:rPr>
        <w:t xml:space="preserve">Basically, the conflict can be avoided if the parent IAB-node could configure the overlapping DCI indications for the same slots with aligned AI values. However, this approach implies a need for a </w:t>
      </w:r>
      <w:r w:rsidRPr="00521A4E">
        <w:rPr>
          <w:rFonts w:cs="Arial"/>
          <w:b w:val="0"/>
          <w:bCs/>
          <w:szCs w:val="20"/>
          <w:lang w:val="en-US"/>
        </w:rPr>
        <w:t>greater</w:t>
      </w:r>
      <w:r w:rsidRPr="00521A4E">
        <w:rPr>
          <w:rFonts w:cs="Arial"/>
          <w:b w:val="0"/>
          <w:szCs w:val="20"/>
          <w:lang w:val="en-US"/>
        </w:rPr>
        <w:t xml:space="preserve"> number of </w:t>
      </w:r>
      <w:r w:rsidRPr="00521A4E">
        <w:rPr>
          <w:rFonts w:cs="Arial"/>
          <w:b w:val="0"/>
          <w:i/>
          <w:szCs w:val="20"/>
          <w:lang w:val="en-US"/>
        </w:rPr>
        <w:t>resourceAvailability</w:t>
      </w:r>
      <w:r w:rsidRPr="00521A4E">
        <w:rPr>
          <w:rFonts w:cs="Arial"/>
          <w:b w:val="0"/>
          <w:bCs/>
          <w:szCs w:val="20"/>
          <w:lang w:val="en-US"/>
        </w:rPr>
        <w:t xml:space="preserve"> elements in </w:t>
      </w:r>
      <w:r w:rsidRPr="00521A4E">
        <w:rPr>
          <w:rFonts w:cs="Arial"/>
          <w:b w:val="0"/>
          <w:bCs/>
          <w:i/>
          <w:szCs w:val="20"/>
          <w:lang w:val="en-US"/>
        </w:rPr>
        <w:t>availabilityCombinations</w:t>
      </w:r>
      <w:r w:rsidRPr="00521A4E">
        <w:rPr>
          <w:rFonts w:cs="Arial"/>
          <w:b w:val="0"/>
          <w:bCs/>
          <w:szCs w:val="20"/>
          <w:lang w:val="en-US"/>
        </w:rPr>
        <w:t xml:space="preserve"> which</w:t>
      </w:r>
      <w:r w:rsidRPr="00521A4E">
        <w:rPr>
          <w:rFonts w:cs="Arial"/>
          <w:b w:val="0"/>
          <w:szCs w:val="20"/>
          <w:lang w:val="en-US"/>
        </w:rPr>
        <w:t xml:space="preserve"> is not feasible since the current specification only allows maximum 512 </w:t>
      </w:r>
      <w:r w:rsidRPr="00521A4E">
        <w:rPr>
          <w:rFonts w:cs="Arial"/>
          <w:b w:val="0"/>
          <w:i/>
          <w:szCs w:val="20"/>
          <w:lang w:val="en-US"/>
        </w:rPr>
        <w:t>resourceAvailability</w:t>
      </w:r>
      <w:r w:rsidRPr="00521A4E">
        <w:rPr>
          <w:rFonts w:cs="Arial"/>
          <w:b w:val="0"/>
          <w:bCs/>
          <w:i/>
          <w:iCs/>
          <w:szCs w:val="20"/>
          <w:lang w:val="en-US"/>
        </w:rPr>
        <w:t xml:space="preserve"> </w:t>
      </w:r>
      <w:r w:rsidRPr="00521A4E">
        <w:rPr>
          <w:rFonts w:cs="Arial"/>
          <w:b w:val="0"/>
          <w:bCs/>
          <w:szCs w:val="20"/>
          <w:lang w:val="en-US"/>
        </w:rPr>
        <w:t>elements and maybe also not appreciable to change.</w:t>
      </w:r>
      <w:r w:rsidRPr="00521A4E">
        <w:rPr>
          <w:rFonts w:cs="Arial"/>
          <w:b w:val="0"/>
          <w:szCs w:val="20"/>
          <w:lang w:val="en-US"/>
        </w:rPr>
        <w:t xml:space="preserve"> An efficient approach could be to include a </w:t>
      </w:r>
      <w:r w:rsidRPr="00521A4E">
        <w:rPr>
          <w:rStyle w:val="IvDbodytextChar"/>
          <w:b w:val="0"/>
          <w:sz w:val="20"/>
          <w:szCs w:val="20"/>
          <w:lang w:val="en-US"/>
        </w:rPr>
        <w:t xml:space="preserve">“No AvailabilityIndication (AI) Change” functionality, for example by reserving one </w:t>
      </w:r>
      <w:r w:rsidRPr="00521A4E">
        <w:rPr>
          <w:rStyle w:val="IvDbodytextChar"/>
          <w:b w:val="0"/>
          <w:i/>
          <w:sz w:val="20"/>
          <w:szCs w:val="20"/>
          <w:lang w:val="en-US"/>
        </w:rPr>
        <w:t>resourceAvailability</w:t>
      </w:r>
      <w:r w:rsidRPr="00521A4E">
        <w:rPr>
          <w:rStyle w:val="IvDbodytextChar"/>
          <w:b w:val="0"/>
          <w:sz w:val="20"/>
          <w:szCs w:val="20"/>
          <w:lang w:val="en-US"/>
        </w:rPr>
        <w:t xml:space="preserve"> </w:t>
      </w:r>
      <w:r w:rsidRPr="00521A4E">
        <w:rPr>
          <w:rStyle w:val="IvDbodytextChar"/>
          <w:b w:val="0"/>
          <w:bCs/>
          <w:sz w:val="20"/>
          <w:szCs w:val="20"/>
          <w:lang w:val="en-US"/>
        </w:rPr>
        <w:t xml:space="preserve">element </w:t>
      </w:r>
      <w:r w:rsidRPr="00521A4E">
        <w:rPr>
          <w:rStyle w:val="IvDbodytextChar"/>
          <w:b w:val="0"/>
          <w:sz w:val="20"/>
          <w:szCs w:val="20"/>
          <w:lang w:val="en-US"/>
        </w:rPr>
        <w:t xml:space="preserve">of the </w:t>
      </w:r>
      <w:r w:rsidRPr="00521A4E">
        <w:rPr>
          <w:rStyle w:val="IvDbodytextChar"/>
          <w:b w:val="0"/>
          <w:i/>
          <w:sz w:val="20"/>
          <w:szCs w:val="20"/>
          <w:lang w:val="en-US"/>
        </w:rPr>
        <w:t>availabilityCombinations</w:t>
      </w:r>
      <w:r w:rsidRPr="00521A4E">
        <w:rPr>
          <w:rStyle w:val="IvDbodytextChar"/>
          <w:b w:val="0"/>
          <w:sz w:val="20"/>
          <w:szCs w:val="20"/>
          <w:lang w:val="en-US"/>
        </w:rPr>
        <w:t xml:space="preserve"> table to signal to the IAB-DU cell </w:t>
      </w:r>
      <w:r w:rsidRPr="00521A4E">
        <w:rPr>
          <w:rStyle w:val="IvDbodytextChar"/>
          <w:b w:val="0"/>
          <w:color w:val="000000" w:themeColor="text1"/>
          <w:sz w:val="20"/>
          <w:szCs w:val="20"/>
          <w:lang w:val="en-US"/>
        </w:rPr>
        <w:t>that “</w:t>
      </w:r>
      <w:r w:rsidRPr="00521A4E">
        <w:rPr>
          <w:rStyle w:val="PlaceholderText"/>
          <w:b w:val="0"/>
          <w:color w:val="000000" w:themeColor="text1"/>
          <w:szCs w:val="20"/>
          <w:lang w:val="en-US"/>
        </w:rPr>
        <w:t>No Availability Indication is provided</w:t>
      </w:r>
      <w:r w:rsidRPr="00521A4E">
        <w:rPr>
          <w:rStyle w:val="IvDbodytextChar"/>
          <w:b w:val="0"/>
          <w:sz w:val="20"/>
          <w:szCs w:val="20"/>
          <w:lang w:val="en-US"/>
        </w:rPr>
        <w:t xml:space="preserve">” in </w:t>
      </w:r>
      <w:r w:rsidR="00223D85" w:rsidRPr="00521A4E">
        <w:rPr>
          <w:rStyle w:val="IvDbodytextChar"/>
          <w:b w:val="0"/>
          <w:sz w:val="20"/>
          <w:szCs w:val="20"/>
          <w:lang w:val="en-US"/>
        </w:rPr>
        <w:t xml:space="preserve">this </w:t>
      </w:r>
      <w:r w:rsidRPr="00521A4E">
        <w:rPr>
          <w:rStyle w:val="IvDbodytextChar"/>
          <w:b w:val="0"/>
          <w:sz w:val="20"/>
          <w:szCs w:val="20"/>
          <w:lang w:val="en-US"/>
        </w:rPr>
        <w:t>DCI format 2_5</w:t>
      </w:r>
      <w:r w:rsidR="00E812CC" w:rsidRPr="00521A4E">
        <w:rPr>
          <w:rStyle w:val="IvDbodytextChar"/>
          <w:b w:val="0"/>
          <w:sz w:val="20"/>
          <w:szCs w:val="20"/>
          <w:lang w:val="en-US"/>
        </w:rPr>
        <w:t>, so that</w:t>
      </w:r>
      <w:r w:rsidRPr="00521A4E">
        <w:rPr>
          <w:rStyle w:val="IvDbodytextChar"/>
          <w:b w:val="0"/>
          <w:sz w:val="20"/>
          <w:szCs w:val="20"/>
          <w:lang w:val="en-US"/>
        </w:rPr>
        <w:t xml:space="preserve"> slots which</w:t>
      </w:r>
      <w:r w:rsidR="00E812CC" w:rsidRPr="00521A4E">
        <w:rPr>
          <w:rStyle w:val="IvDbodytextChar"/>
          <w:b w:val="0"/>
          <w:sz w:val="20"/>
          <w:szCs w:val="20"/>
          <w:lang w:val="en-US"/>
        </w:rPr>
        <w:t xml:space="preserve"> have already received an availability indication information do not</w:t>
      </w:r>
      <w:r w:rsidRPr="00521A4E">
        <w:rPr>
          <w:rStyle w:val="IvDbodytextChar"/>
          <w:b w:val="0"/>
          <w:sz w:val="20"/>
          <w:szCs w:val="20"/>
          <w:lang w:val="en-US"/>
        </w:rPr>
        <w:t xml:space="preserve"> receive multiple Availability Indicators (AIs).</w:t>
      </w:r>
    </w:p>
    <w:p w14:paraId="202DE258" w14:textId="4EA2F518" w:rsidR="008F1F8C" w:rsidRPr="00521A4E" w:rsidRDefault="008F1F8C" w:rsidP="00F364B7">
      <w:pPr>
        <w:pStyle w:val="Proposal"/>
        <w:tabs>
          <w:tab w:val="clear" w:pos="1872"/>
        </w:tabs>
        <w:ind w:left="1304"/>
        <w:rPr>
          <w:lang w:eastAsia="ja-JP"/>
        </w:rPr>
      </w:pPr>
      <w:bookmarkStart w:id="155" w:name="_Toc87042257"/>
      <w:r w:rsidRPr="00521A4E">
        <w:rPr>
          <w:lang w:eastAsia="ja-JP"/>
        </w:rPr>
        <w:t xml:space="preserve">One resourceAvailability element of the availabilityCombinations table is reserved to signal to the IAB-DU that “No </w:t>
      </w:r>
      <w:r w:rsidR="00103D56" w:rsidRPr="00521A4E">
        <w:rPr>
          <w:lang w:eastAsia="ja-JP"/>
        </w:rPr>
        <w:t xml:space="preserve">new </w:t>
      </w:r>
      <w:r w:rsidRPr="00521A4E">
        <w:rPr>
          <w:lang w:eastAsia="ja-JP"/>
        </w:rPr>
        <w:t>Availability Indication is provided” in DCI format 2_5.</w:t>
      </w:r>
      <w:bookmarkEnd w:id="155"/>
    </w:p>
    <w:p w14:paraId="3945751F" w14:textId="1CAED21E" w:rsidR="00F63950" w:rsidRPr="00521A4E" w:rsidRDefault="00E6351D" w:rsidP="007E3B07">
      <w:pPr>
        <w:pStyle w:val="Heading2"/>
        <w:jc w:val="both"/>
        <w:rPr>
          <w:lang w:val="en-US"/>
        </w:rPr>
      </w:pPr>
      <w:r w:rsidRPr="00521A4E">
        <w:rPr>
          <w:lang w:val="en-US"/>
        </w:rPr>
        <w:t>Space domain multiplexing</w:t>
      </w:r>
    </w:p>
    <w:p w14:paraId="7C74E019" w14:textId="77777777" w:rsidR="009A6063" w:rsidRPr="00521A4E" w:rsidRDefault="009A6063" w:rsidP="007E3B07">
      <w:pPr>
        <w:jc w:val="both"/>
        <w:rPr>
          <w:rFonts w:cs="Arial"/>
          <w:szCs w:val="20"/>
          <w:lang w:eastAsia="ja-JP"/>
        </w:rPr>
      </w:pPr>
      <w:r w:rsidRPr="00521A4E">
        <w:rPr>
          <w:rFonts w:cs="Arial"/>
          <w:szCs w:val="20"/>
          <w:lang w:eastAsia="ja-JP"/>
        </w:rPr>
        <w:t xml:space="preserve">For simultaneous operation, it is also possible to envision space domain </w:t>
      </w:r>
      <w:r w:rsidRPr="00521A4E">
        <w:rPr>
          <w:rFonts w:cs="Arial"/>
          <w:szCs w:val="20"/>
        </w:rPr>
        <w:t xml:space="preserve">multiplexing </w:t>
      </w:r>
      <w:r w:rsidRPr="00521A4E">
        <w:rPr>
          <w:rFonts w:cs="Arial"/>
          <w:szCs w:val="20"/>
          <w:lang w:eastAsia="ja-JP"/>
        </w:rPr>
        <w:t xml:space="preserve">of resources. </w:t>
      </w:r>
      <w:r w:rsidRPr="00521A4E">
        <w:rPr>
          <w:rFonts w:cs="Arial"/>
          <w:szCs w:val="20"/>
        </w:rPr>
        <w:t>The space domain differs compared to time and frequency domain multiplexing in the sense that the same time-frequency resources would be available to both the IAB-DU and IAB-MT as long as interference is limited.</w:t>
      </w:r>
      <w:r w:rsidRPr="00521A4E">
        <w:rPr>
          <w:rFonts w:cs="Arial"/>
          <w:szCs w:val="20"/>
          <w:lang w:eastAsia="ja-JP"/>
        </w:rPr>
        <w:t xml:space="preserve"> </w:t>
      </w:r>
    </w:p>
    <w:p w14:paraId="2AC61B2A" w14:textId="4412D97C" w:rsidR="009A6063" w:rsidRPr="00521A4E" w:rsidRDefault="009A6063" w:rsidP="007E3B07">
      <w:pPr>
        <w:jc w:val="both"/>
        <w:rPr>
          <w:rFonts w:cs="Arial"/>
          <w:szCs w:val="20"/>
          <w:lang w:eastAsia="ja-JP"/>
        </w:rPr>
      </w:pPr>
      <w:r w:rsidRPr="00521A4E">
        <w:rPr>
          <w:rFonts w:cs="Arial"/>
          <w:szCs w:val="20"/>
        </w:rPr>
        <w:t>In RAN1#10</w:t>
      </w:r>
      <w:r w:rsidR="00663CC3" w:rsidRPr="00521A4E">
        <w:rPr>
          <w:rFonts w:cs="Arial"/>
          <w:szCs w:val="20"/>
        </w:rPr>
        <w:t>6</w:t>
      </w:r>
      <w:r w:rsidR="004E0741" w:rsidRPr="00521A4E">
        <w:rPr>
          <w:rFonts w:cs="Arial"/>
          <w:szCs w:val="20"/>
        </w:rPr>
        <w:t>bis</w:t>
      </w:r>
      <w:r w:rsidRPr="00521A4E">
        <w:rPr>
          <w:rFonts w:cs="Arial"/>
          <w:szCs w:val="20"/>
        </w:rPr>
        <w:t>-e the following objectives of spatial domain resource multiplexing were agreed</w:t>
      </w:r>
      <w:r w:rsidR="004E0741" w:rsidRPr="00521A4E">
        <w:rPr>
          <w:rFonts w:cs="Arial"/>
          <w:szCs w:val="20"/>
        </w:rPr>
        <w:t xml:space="preserve"> </w:t>
      </w:r>
      <w:r w:rsidR="004E0741" w:rsidRPr="00521A4E">
        <w:rPr>
          <w:rFonts w:cs="Arial"/>
          <w:szCs w:val="20"/>
        </w:rPr>
        <w:fldChar w:fldCharType="begin"/>
      </w:r>
      <w:r w:rsidR="004E0741" w:rsidRPr="00521A4E">
        <w:rPr>
          <w:rFonts w:cs="Arial"/>
          <w:szCs w:val="20"/>
        </w:rPr>
        <w:instrText xml:space="preserve"> REF _Ref85313944 \r \h </w:instrText>
      </w:r>
      <w:r w:rsidR="004E0741" w:rsidRPr="00521A4E">
        <w:rPr>
          <w:rFonts w:cs="Arial"/>
          <w:szCs w:val="20"/>
        </w:rPr>
      </w:r>
      <w:r w:rsidR="007E3B07" w:rsidRPr="00521A4E">
        <w:rPr>
          <w:rFonts w:cs="Arial"/>
          <w:szCs w:val="20"/>
        </w:rPr>
        <w:instrText xml:space="preserve"> \* MERGEFORMAT </w:instrText>
      </w:r>
      <w:r w:rsidR="004E0741" w:rsidRPr="00521A4E">
        <w:rPr>
          <w:rFonts w:cs="Arial"/>
          <w:szCs w:val="20"/>
        </w:rPr>
        <w:fldChar w:fldCharType="separate"/>
      </w:r>
      <w:r w:rsidR="00F201E9">
        <w:rPr>
          <w:rFonts w:cs="Arial"/>
          <w:szCs w:val="20"/>
        </w:rPr>
        <w:t>[4]</w:t>
      </w:r>
      <w:r w:rsidR="004E0741"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9A6063" w:rsidRPr="00521A4E" w14:paraId="6CDBC6DB" w14:textId="77777777" w:rsidTr="001F2465">
        <w:tc>
          <w:tcPr>
            <w:tcW w:w="9629" w:type="dxa"/>
          </w:tcPr>
          <w:p w14:paraId="79E3B629" w14:textId="77777777" w:rsidR="008569A9" w:rsidRPr="00521A4E" w:rsidRDefault="008569A9" w:rsidP="007E3B07">
            <w:pPr>
              <w:jc w:val="both"/>
              <w:rPr>
                <w:rFonts w:cs="Times"/>
                <w:b/>
                <w:sz w:val="20"/>
                <w:szCs w:val="20"/>
                <w:highlight w:val="green"/>
              </w:rPr>
            </w:pPr>
            <w:r w:rsidRPr="00521A4E">
              <w:rPr>
                <w:rFonts w:cs="Times"/>
                <w:b/>
                <w:sz w:val="20"/>
                <w:szCs w:val="20"/>
                <w:highlight w:val="green"/>
              </w:rPr>
              <w:t>Agreement</w:t>
            </w:r>
          </w:p>
          <w:p w14:paraId="2FD04D70" w14:textId="77777777" w:rsidR="008569A9" w:rsidRPr="00521A4E" w:rsidRDefault="008569A9" w:rsidP="007E3B07">
            <w:pPr>
              <w:jc w:val="both"/>
              <w:rPr>
                <w:rFonts w:cs="Times"/>
                <w:b/>
                <w:sz w:val="20"/>
                <w:szCs w:val="20"/>
                <w:lang w:eastAsia="zh-CN"/>
              </w:rPr>
            </w:pPr>
            <w:r w:rsidRPr="00521A4E">
              <w:rPr>
                <w:rStyle w:val="Strong"/>
                <w:rFonts w:cs="Times"/>
                <w:b w:val="0"/>
                <w:sz w:val="20"/>
                <w:szCs w:val="20"/>
                <w:lang w:eastAsia="zh-CN"/>
              </w:rPr>
              <w:t>RS ID, based on the IAB node’s DU configurations, is used by a parent node to indicate beams of an IAB-DU in the direction of which simultaneous operation is restricted</w:t>
            </w:r>
          </w:p>
          <w:p w14:paraId="653795FB" w14:textId="77777777" w:rsidR="008569A9" w:rsidRPr="00521A4E" w:rsidRDefault="008569A9" w:rsidP="007E3B07">
            <w:pPr>
              <w:numPr>
                <w:ilvl w:val="0"/>
                <w:numId w:val="25"/>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At least SSB ID and [STC index] are supported</w:t>
            </w:r>
          </w:p>
          <w:p w14:paraId="2081A54A" w14:textId="77777777" w:rsidR="008569A9" w:rsidRPr="00521A4E" w:rsidRDefault="008569A9" w:rsidP="007E3B07">
            <w:pPr>
              <w:numPr>
                <w:ilvl w:val="0"/>
                <w:numId w:val="25"/>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FFS: Whether restrictions are indicated to apply differently for H or S resources</w:t>
            </w:r>
          </w:p>
          <w:p w14:paraId="28AEB8F6" w14:textId="77777777" w:rsidR="008569A9" w:rsidRPr="00521A4E" w:rsidRDefault="008569A9" w:rsidP="007E3B07">
            <w:pPr>
              <w:numPr>
                <w:ilvl w:val="0"/>
                <w:numId w:val="25"/>
              </w:numPr>
              <w:spacing w:after="0" w:line="240" w:lineRule="auto"/>
              <w:jc w:val="both"/>
              <w:rPr>
                <w:rStyle w:val="Strong"/>
                <w:rFonts w:eastAsia="SimSun" w:cs="Times"/>
                <w:bCs w:val="0"/>
                <w:sz w:val="20"/>
                <w:szCs w:val="20"/>
                <w:lang w:eastAsia="zh-CN"/>
              </w:rPr>
            </w:pPr>
            <w:r w:rsidRPr="00521A4E">
              <w:rPr>
                <w:rStyle w:val="Strong"/>
                <w:rFonts w:eastAsia="Times New Roman" w:cs="Times"/>
                <w:b w:val="0"/>
                <w:sz w:val="20"/>
                <w:szCs w:val="20"/>
                <w:lang w:eastAsia="zh-CN"/>
              </w:rPr>
              <w:t>FFS: Informing the parent node of SRS configuration of the IAB-MT (if collocated with the IAB-DU)</w:t>
            </w:r>
          </w:p>
          <w:p w14:paraId="05311677" w14:textId="7894E89D" w:rsidR="00BC21DD" w:rsidRPr="00521A4E" w:rsidRDefault="00BC21DD" w:rsidP="007E3B07">
            <w:pPr>
              <w:spacing w:before="100" w:beforeAutospacing="1" w:after="100" w:afterAutospacing="1" w:line="240" w:lineRule="auto"/>
              <w:jc w:val="both"/>
              <w:rPr>
                <w:rStyle w:val="Strong"/>
                <w:rFonts w:ascii="SimSun" w:eastAsia="SimSun" w:hAnsi="SimSun"/>
                <w:sz w:val="20"/>
                <w:szCs w:val="20"/>
              </w:rPr>
            </w:pPr>
          </w:p>
          <w:p w14:paraId="224CF8B2" w14:textId="77777777" w:rsidR="008569A9" w:rsidRPr="00521A4E" w:rsidRDefault="008569A9" w:rsidP="007E3B07">
            <w:pPr>
              <w:jc w:val="both"/>
              <w:rPr>
                <w:rFonts w:cs="Times"/>
                <w:b/>
                <w:sz w:val="20"/>
                <w:szCs w:val="20"/>
                <w:highlight w:val="green"/>
              </w:rPr>
            </w:pPr>
            <w:r w:rsidRPr="00521A4E">
              <w:rPr>
                <w:rFonts w:cs="Times"/>
                <w:b/>
                <w:sz w:val="20"/>
                <w:szCs w:val="20"/>
                <w:highlight w:val="green"/>
              </w:rPr>
              <w:t>Agreement</w:t>
            </w:r>
          </w:p>
          <w:p w14:paraId="7DED9895" w14:textId="77777777" w:rsidR="008569A9" w:rsidRPr="00521A4E" w:rsidRDefault="008569A9" w:rsidP="007E3B07">
            <w:pPr>
              <w:pStyle w:val="BodyText"/>
              <w:spacing w:after="0"/>
              <w:rPr>
                <w:rFonts w:cs="Times"/>
                <w:b/>
                <w:sz w:val="20"/>
                <w:szCs w:val="20"/>
              </w:rPr>
            </w:pPr>
            <w:r w:rsidRPr="00521A4E">
              <w:rPr>
                <w:rStyle w:val="Strong"/>
                <w:rFonts w:cs="Times"/>
                <w:b w:val="0"/>
                <w:sz w:val="20"/>
                <w:szCs w:val="20"/>
              </w:rPr>
              <w:t>The restricted beam indication from the parent node to the IAB node may be indicated (or specified) to be associated with some combination (one or multiple) of the following IAB node’s parameters:</w:t>
            </w:r>
          </w:p>
          <w:p w14:paraId="1F0376C1" w14:textId="77777777" w:rsidR="008569A9" w:rsidRPr="00521A4E" w:rsidRDefault="008569A9" w:rsidP="007E3B07">
            <w:pPr>
              <w:numPr>
                <w:ilvl w:val="0"/>
                <w:numId w:val="26"/>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[Multiplexing mode]</w:t>
            </w:r>
          </w:p>
          <w:p w14:paraId="62EF8FDF" w14:textId="77777777" w:rsidR="008569A9" w:rsidRPr="00521A4E" w:rsidRDefault="008569A9" w:rsidP="007E3B07">
            <w:pPr>
              <w:numPr>
                <w:ilvl w:val="0"/>
                <w:numId w:val="26"/>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[MT’s DL beam (e.g. TCI state id)] or MT’s UL beam (e.g., SRI id)</w:t>
            </w:r>
          </w:p>
          <w:p w14:paraId="1B6F3BF9" w14:textId="77777777" w:rsidR="008569A9" w:rsidRPr="00521A4E" w:rsidRDefault="008569A9" w:rsidP="007E3B07">
            <w:pPr>
              <w:numPr>
                <w:ilvl w:val="0"/>
                <w:numId w:val="26"/>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[DU resource configuration (e.g. soft resources)]</w:t>
            </w:r>
          </w:p>
          <w:p w14:paraId="155C90C2" w14:textId="77777777" w:rsidR="008569A9" w:rsidRPr="00521A4E" w:rsidRDefault="008569A9" w:rsidP="007E3B07">
            <w:pPr>
              <w:numPr>
                <w:ilvl w:val="0"/>
                <w:numId w:val="26"/>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[Slot index]</w:t>
            </w:r>
          </w:p>
          <w:p w14:paraId="03ACCC9E" w14:textId="77777777" w:rsidR="008569A9" w:rsidRPr="00521A4E" w:rsidRDefault="008569A9" w:rsidP="007E3B07">
            <w:pPr>
              <w:spacing w:before="100" w:beforeAutospacing="1" w:after="100" w:afterAutospacing="1" w:line="240" w:lineRule="auto"/>
              <w:jc w:val="both"/>
              <w:rPr>
                <w:rStyle w:val="Strong"/>
                <w:rFonts w:ascii="SimSun" w:eastAsia="SimSun" w:hAnsi="SimSun"/>
                <w:sz w:val="20"/>
                <w:szCs w:val="20"/>
              </w:rPr>
            </w:pPr>
          </w:p>
          <w:p w14:paraId="4DB00744" w14:textId="77777777" w:rsidR="008569A9" w:rsidRPr="00521A4E" w:rsidRDefault="008569A9" w:rsidP="007E3B07">
            <w:pPr>
              <w:jc w:val="both"/>
              <w:rPr>
                <w:rFonts w:cs="Times"/>
                <w:b/>
                <w:sz w:val="20"/>
                <w:szCs w:val="20"/>
                <w:highlight w:val="green"/>
              </w:rPr>
            </w:pPr>
            <w:r w:rsidRPr="00521A4E">
              <w:rPr>
                <w:rFonts w:cs="Times"/>
                <w:b/>
                <w:sz w:val="20"/>
                <w:szCs w:val="20"/>
                <w:highlight w:val="green"/>
              </w:rPr>
              <w:t>Agreement</w:t>
            </w:r>
          </w:p>
          <w:p w14:paraId="751395EA" w14:textId="77777777" w:rsidR="008569A9" w:rsidRPr="00521A4E" w:rsidRDefault="008569A9" w:rsidP="007E3B07">
            <w:pPr>
              <w:jc w:val="both"/>
              <w:rPr>
                <w:rFonts w:cs="Times"/>
                <w:b/>
                <w:sz w:val="20"/>
                <w:szCs w:val="20"/>
              </w:rPr>
            </w:pPr>
            <w:r w:rsidRPr="00521A4E">
              <w:rPr>
                <w:rStyle w:val="Strong"/>
                <w:rFonts w:cs="Times"/>
                <w:b w:val="0"/>
                <w:sz w:val="20"/>
                <w:szCs w:val="20"/>
              </w:rPr>
              <w:t>The recommended beam indication from the IAB-MT to the parent node are provided via MAC-CE:</w:t>
            </w:r>
          </w:p>
          <w:p w14:paraId="0B6B2686" w14:textId="77777777" w:rsidR="008569A9" w:rsidRPr="00521A4E" w:rsidRDefault="008569A9" w:rsidP="007E3B07">
            <w:pPr>
              <w:numPr>
                <w:ilvl w:val="0"/>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For DL Rx beam(s):</w:t>
            </w:r>
            <w:r w:rsidRPr="00521A4E">
              <w:rPr>
                <w:rStyle w:val="apple-converted-space"/>
                <w:rFonts w:eastAsia="Times New Roman" w:cs="Times"/>
                <w:b/>
                <w:bCs/>
                <w:sz w:val="20"/>
                <w:szCs w:val="20"/>
              </w:rPr>
              <w:t> </w:t>
            </w:r>
            <w:r w:rsidRPr="00521A4E">
              <w:rPr>
                <w:rStyle w:val="Strong"/>
                <w:rFonts w:eastAsia="Times New Roman" w:cs="Times"/>
                <w:b w:val="0"/>
                <w:sz w:val="20"/>
                <w:szCs w:val="20"/>
              </w:rPr>
              <w:t>using one or more of the following:</w:t>
            </w:r>
          </w:p>
          <w:p w14:paraId="28B1A78A" w14:textId="77777777" w:rsidR="008569A9" w:rsidRPr="00521A4E" w:rsidRDefault="008569A9" w:rsidP="007E3B07">
            <w:pPr>
              <w:numPr>
                <w:ilvl w:val="1"/>
                <w:numId w:val="27"/>
              </w:numPr>
              <w:spacing w:after="0" w:line="240" w:lineRule="auto"/>
              <w:jc w:val="both"/>
              <w:rPr>
                <w:rStyle w:val="Strong"/>
                <w:rFonts w:eastAsia="Malgun Gothic" w:cs="Times"/>
                <w:b w:val="0"/>
                <w:bCs w:val="0"/>
                <w:sz w:val="20"/>
                <w:szCs w:val="20"/>
              </w:rPr>
            </w:pPr>
            <w:r w:rsidRPr="00521A4E">
              <w:rPr>
                <w:rStyle w:val="Strong"/>
                <w:rFonts w:eastAsia="Times New Roman" w:cs="Times"/>
                <w:b w:val="0"/>
                <w:sz w:val="20"/>
                <w:szCs w:val="20"/>
              </w:rPr>
              <w:t>DL TCI state ID</w:t>
            </w:r>
          </w:p>
          <w:p w14:paraId="42753033" w14:textId="77777777" w:rsidR="008569A9" w:rsidRPr="00521A4E" w:rsidRDefault="008569A9" w:rsidP="007E3B07">
            <w:pPr>
              <w:numPr>
                <w:ilvl w:val="2"/>
                <w:numId w:val="27"/>
              </w:numPr>
              <w:spacing w:after="0" w:line="240" w:lineRule="auto"/>
              <w:jc w:val="both"/>
              <w:rPr>
                <w:rFonts w:cs="Times"/>
                <w:b/>
                <w:sz w:val="20"/>
                <w:szCs w:val="20"/>
              </w:rPr>
            </w:pPr>
            <w:r w:rsidRPr="00521A4E">
              <w:rPr>
                <w:rStyle w:val="Strong"/>
                <w:rFonts w:eastAsia="Times New Roman" w:cs="Times"/>
                <w:b w:val="0"/>
                <w:sz w:val="20"/>
                <w:szCs w:val="20"/>
              </w:rPr>
              <w:lastRenderedPageBreak/>
              <w:t>FFS:</w:t>
            </w:r>
            <w:r w:rsidRPr="00521A4E">
              <w:rPr>
                <w:rStyle w:val="apple-converted-space"/>
                <w:rFonts w:eastAsia="Times New Roman" w:cs="Times"/>
                <w:b/>
                <w:bCs/>
                <w:sz w:val="20"/>
                <w:szCs w:val="20"/>
              </w:rPr>
              <w:t> </w:t>
            </w:r>
            <w:r w:rsidRPr="00521A4E">
              <w:rPr>
                <w:rStyle w:val="apple-converted-space"/>
                <w:rFonts w:eastAsia="Times New Roman" w:cs="Times"/>
                <w:bCs/>
                <w:sz w:val="20"/>
                <w:szCs w:val="20"/>
              </w:rPr>
              <w:t>UE</w:t>
            </w:r>
            <w:r w:rsidRPr="00521A4E">
              <w:rPr>
                <w:rStyle w:val="apple-converted-space"/>
                <w:rFonts w:eastAsia="Times New Roman" w:cs="Times"/>
                <w:b/>
                <w:bCs/>
                <w:sz w:val="20"/>
                <w:szCs w:val="20"/>
              </w:rPr>
              <w:t>/</w:t>
            </w:r>
            <w:r w:rsidRPr="00521A4E">
              <w:rPr>
                <w:rStyle w:val="Strong"/>
                <w:rFonts w:eastAsia="Times New Roman" w:cs="Times"/>
                <w:b w:val="0"/>
                <w:sz w:val="20"/>
                <w:szCs w:val="20"/>
              </w:rPr>
              <w:t>IAB-MT does not assume that DL Tx power adjustment (if provided) is applied to the SSB index (if supported) indicated as QCLed reference signal in DL TCI state ID.</w:t>
            </w:r>
            <w:r w:rsidRPr="00521A4E">
              <w:rPr>
                <w:rStyle w:val="apple-converted-space"/>
                <w:rFonts w:eastAsia="Times New Roman" w:cs="Times"/>
                <w:b/>
                <w:bCs/>
                <w:sz w:val="20"/>
                <w:szCs w:val="20"/>
              </w:rPr>
              <w:t> </w:t>
            </w:r>
          </w:p>
          <w:p w14:paraId="24C6F0EA"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[RS ID]</w:t>
            </w:r>
          </w:p>
          <w:p w14:paraId="7F15196B"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[R17</w:t>
            </w:r>
            <w:r w:rsidRPr="00521A4E">
              <w:rPr>
                <w:rStyle w:val="apple-converted-space"/>
                <w:rFonts w:eastAsia="Times New Roman" w:cs="Times"/>
                <w:b/>
                <w:bCs/>
                <w:sz w:val="20"/>
                <w:szCs w:val="20"/>
              </w:rPr>
              <w:t> </w:t>
            </w:r>
            <w:r w:rsidRPr="00521A4E">
              <w:rPr>
                <w:rStyle w:val="Strong"/>
                <w:rFonts w:eastAsia="Times New Roman" w:cs="Times"/>
                <w:b w:val="0"/>
                <w:sz w:val="20"/>
                <w:szCs w:val="20"/>
              </w:rPr>
              <w:t>DL TCI, or joint DL/UL TCI ID]</w:t>
            </w:r>
          </w:p>
          <w:p w14:paraId="677D2AF6" w14:textId="77777777" w:rsidR="008569A9" w:rsidRPr="00521A4E" w:rsidRDefault="008569A9" w:rsidP="007E3B07">
            <w:pPr>
              <w:numPr>
                <w:ilvl w:val="0"/>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For UL Tx beam(s): using one</w:t>
            </w:r>
            <w:r w:rsidRPr="00521A4E">
              <w:rPr>
                <w:rStyle w:val="apple-converted-space"/>
                <w:rFonts w:eastAsia="SimSun" w:cs="Times"/>
                <w:b/>
                <w:bCs/>
                <w:sz w:val="20"/>
                <w:szCs w:val="20"/>
              </w:rPr>
              <w:t xml:space="preserve"> </w:t>
            </w:r>
            <w:r w:rsidRPr="00521A4E">
              <w:rPr>
                <w:rStyle w:val="Strong"/>
                <w:rFonts w:eastAsia="Times New Roman" w:cs="Times"/>
                <w:b w:val="0"/>
                <w:sz w:val="20"/>
                <w:szCs w:val="20"/>
              </w:rPr>
              <w:t>or more</w:t>
            </w:r>
            <w:r w:rsidRPr="00521A4E">
              <w:rPr>
                <w:rStyle w:val="apple-converted-space"/>
                <w:rFonts w:eastAsia="SimSun" w:cs="Times"/>
                <w:b/>
                <w:bCs/>
                <w:sz w:val="20"/>
                <w:szCs w:val="20"/>
              </w:rPr>
              <w:t xml:space="preserve"> </w:t>
            </w:r>
            <w:r w:rsidRPr="00521A4E">
              <w:rPr>
                <w:rStyle w:val="Strong"/>
                <w:rFonts w:eastAsia="Times New Roman" w:cs="Times"/>
                <w:b w:val="0"/>
                <w:sz w:val="20"/>
                <w:szCs w:val="20"/>
              </w:rPr>
              <w:t>of the following:</w:t>
            </w:r>
          </w:p>
          <w:p w14:paraId="47E5FA68"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[Spatial relation]</w:t>
            </w:r>
          </w:p>
          <w:p w14:paraId="5CC435DB"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[RS ID]</w:t>
            </w:r>
          </w:p>
          <w:p w14:paraId="6E52F6BC"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[R17 UL TCI, or joint DL/UL TCI ID]</w:t>
            </w:r>
          </w:p>
          <w:p w14:paraId="7FD084E0" w14:textId="77777777" w:rsidR="008569A9" w:rsidRPr="00521A4E" w:rsidRDefault="008569A9" w:rsidP="007E3B07">
            <w:pPr>
              <w:numPr>
                <w:ilvl w:val="1"/>
                <w:numId w:val="27"/>
              </w:numPr>
              <w:spacing w:after="0" w:line="240" w:lineRule="auto"/>
              <w:jc w:val="both"/>
              <w:rPr>
                <w:rFonts w:eastAsia="Times New Roman" w:cs="Times"/>
                <w:b/>
                <w:sz w:val="20"/>
                <w:szCs w:val="20"/>
              </w:rPr>
            </w:pPr>
            <w:r w:rsidRPr="00521A4E">
              <w:rPr>
                <w:rStyle w:val="Strong"/>
                <w:rFonts w:eastAsia="Times New Roman" w:cs="Times"/>
                <w:b w:val="0"/>
                <w:sz w:val="20"/>
                <w:szCs w:val="20"/>
              </w:rPr>
              <w:t>[SRI]</w:t>
            </w:r>
          </w:p>
          <w:p w14:paraId="63A5DB52" w14:textId="3B77429F" w:rsidR="00BC21DD" w:rsidRPr="00521A4E" w:rsidRDefault="00BC21DD" w:rsidP="007E3B07">
            <w:pPr>
              <w:spacing w:after="0"/>
              <w:jc w:val="both"/>
              <w:rPr>
                <w:rFonts w:cs="Arial"/>
                <w:sz w:val="20"/>
                <w:szCs w:val="20"/>
              </w:rPr>
            </w:pPr>
          </w:p>
        </w:tc>
      </w:tr>
    </w:tbl>
    <w:p w14:paraId="51902371" w14:textId="63B2CFDA" w:rsidR="009A6063" w:rsidRPr="00521A4E" w:rsidRDefault="009A6063" w:rsidP="007E3B07">
      <w:pPr>
        <w:spacing w:before="240"/>
        <w:jc w:val="both"/>
        <w:rPr>
          <w:rStyle w:val="IvDbodytextChar"/>
          <w:sz w:val="20"/>
          <w:szCs w:val="20"/>
        </w:rPr>
      </w:pPr>
      <w:r w:rsidRPr="00521A4E">
        <w:rPr>
          <w:rFonts w:cs="Arial"/>
          <w:szCs w:val="20"/>
        </w:rPr>
        <w:lastRenderedPageBreak/>
        <w:t>For transmission/reception directions (i.e., beams) where the IAB-MT and IAB-DU can use the same time- and frequency-domain resources</w:t>
      </w:r>
      <w:r w:rsidR="00B129FF" w:rsidRPr="00521A4E">
        <w:rPr>
          <w:rFonts w:cs="Arial"/>
          <w:szCs w:val="20"/>
        </w:rPr>
        <w:t xml:space="preserve">, </w:t>
      </w:r>
      <w:r w:rsidRPr="00521A4E">
        <w:rPr>
          <w:rFonts w:cs="Arial"/>
          <w:szCs w:val="20"/>
        </w:rPr>
        <w:t xml:space="preserve">i.e., capable of SDM, the Rel-16 time-domain H/S mechanism is not needed due to the space-domain orthogonality. </w:t>
      </w:r>
      <w:r w:rsidRPr="00521A4E">
        <w:t xml:space="preserve">As pointed out in Section </w:t>
      </w:r>
      <w:r w:rsidRPr="00521A4E">
        <w:fldChar w:fldCharType="begin"/>
      </w:r>
      <w:r w:rsidRPr="00521A4E">
        <w:instrText xml:space="preserve"> REF _Ref58590315 \r \h </w:instrText>
      </w:r>
      <w:r w:rsidR="006F3B67" w:rsidRPr="00521A4E">
        <w:instrText xml:space="preserve"> \* MERGEFORMAT </w:instrText>
      </w:r>
      <w:r w:rsidRPr="00521A4E">
        <w:fldChar w:fldCharType="separate"/>
      </w:r>
      <w:r w:rsidR="00F201E9">
        <w:t>2.1.1</w:t>
      </w:r>
      <w:r w:rsidRPr="00521A4E">
        <w:fldChar w:fldCharType="end"/>
      </w:r>
      <w:r w:rsidRPr="00521A4E">
        <w:t xml:space="preserve">, H/S/NA resource configuration </w:t>
      </w:r>
      <w:r w:rsidR="005E6433" w:rsidRPr="00521A4E">
        <w:t>has been</w:t>
      </w:r>
      <w:r w:rsidRPr="00521A4E">
        <w:t xml:space="preserve"> agreed to be extended to the frequency domain. Considering the Rel-16 H/S/NA resource configurations, a </w:t>
      </w:r>
      <w:r w:rsidRPr="00521A4E">
        <w:rPr>
          <w:i/>
        </w:rPr>
        <w:t>Hard</w:t>
      </w:r>
      <w:r w:rsidRPr="00521A4E">
        <w:t xml:space="preserve"> configuration implies that </w:t>
      </w:r>
      <w:r w:rsidRPr="00521A4E">
        <w:rPr>
          <w:rStyle w:val="IvDbodytextChar"/>
          <w:sz w:val="20"/>
          <w:szCs w:val="20"/>
        </w:rPr>
        <w:t xml:space="preserve">the IAB-DU cell </w:t>
      </w:r>
      <w:r w:rsidRPr="00521A4E">
        <w:rPr>
          <w:rStyle w:val="IvDbodytextChar"/>
          <w:i/>
          <w:sz w:val="20"/>
          <w:szCs w:val="20"/>
        </w:rPr>
        <w:t>unconditionally</w:t>
      </w:r>
      <w:r w:rsidRPr="00521A4E">
        <w:rPr>
          <w:rStyle w:val="IvDbodytextChar"/>
          <w:sz w:val="20"/>
          <w:szCs w:val="20"/>
        </w:rPr>
        <w:t xml:space="preserve"> can use a symbol (i.e., the IAB-MT is not required to </w:t>
      </w:r>
      <w:r w:rsidR="00D37A15" w:rsidRPr="00521A4E">
        <w:t>be available for operation</w:t>
      </w:r>
      <w:r w:rsidRPr="00521A4E">
        <w:rPr>
          <w:rStyle w:val="IvDbodytextChar"/>
          <w:sz w:val="20"/>
          <w:szCs w:val="20"/>
        </w:rPr>
        <w:t xml:space="preserve">), </w:t>
      </w:r>
      <w:r w:rsidRPr="00521A4E">
        <w:rPr>
          <w:rStyle w:val="IvDbodytextChar"/>
          <w:i/>
          <w:sz w:val="20"/>
          <w:szCs w:val="20"/>
        </w:rPr>
        <w:t>Soft</w:t>
      </w:r>
      <w:r w:rsidRPr="00521A4E">
        <w:rPr>
          <w:rStyle w:val="IvDbodytextChar"/>
          <w:sz w:val="20"/>
          <w:szCs w:val="20"/>
        </w:rPr>
        <w:t xml:space="preserve">, that the IAB-DU cell </w:t>
      </w:r>
      <w:r w:rsidRPr="00521A4E">
        <w:rPr>
          <w:rStyle w:val="IvDbodytextChar"/>
          <w:i/>
          <w:sz w:val="20"/>
          <w:szCs w:val="20"/>
        </w:rPr>
        <w:t>conditionally</w:t>
      </w:r>
      <w:r w:rsidRPr="00521A4E">
        <w:rPr>
          <w:rStyle w:val="IvDbodytextChar"/>
          <w:sz w:val="20"/>
          <w:szCs w:val="20"/>
        </w:rPr>
        <w:t xml:space="preserve"> can use the symbol and </w:t>
      </w:r>
      <w:r w:rsidRPr="00521A4E">
        <w:rPr>
          <w:rStyle w:val="IvDbodytextChar"/>
          <w:i/>
          <w:sz w:val="20"/>
          <w:szCs w:val="20"/>
        </w:rPr>
        <w:t>Not Available</w:t>
      </w:r>
      <w:r w:rsidRPr="00521A4E">
        <w:rPr>
          <w:rStyle w:val="IvDbodytextChar"/>
          <w:sz w:val="20"/>
          <w:szCs w:val="20"/>
        </w:rPr>
        <w:t xml:space="preserve"> that the IAB-DU cannot use the symbol at all. Generalizing these </w:t>
      </w:r>
      <w:r w:rsidR="004D1DF4" w:rsidRPr="00521A4E">
        <w:rPr>
          <w:rStyle w:val="IvDbodytextChar"/>
          <w:sz w:val="20"/>
          <w:szCs w:val="20"/>
        </w:rPr>
        <w:t>conditions</w:t>
      </w:r>
      <w:r w:rsidRPr="00521A4E">
        <w:rPr>
          <w:rStyle w:val="IvDbodytextChar"/>
          <w:sz w:val="20"/>
          <w:szCs w:val="20"/>
        </w:rPr>
        <w:t xml:space="preserve"> to both time and frequency domain implies that the IAB-DU and IAB-MT may only simultaneously operate in </w:t>
      </w:r>
      <w:r w:rsidR="004D1DF4" w:rsidRPr="00521A4E">
        <w:rPr>
          <w:rStyle w:val="IvDbodytextChar"/>
          <w:sz w:val="20"/>
          <w:szCs w:val="20"/>
        </w:rPr>
        <w:t>SDM</w:t>
      </w:r>
      <w:r w:rsidRPr="00521A4E">
        <w:rPr>
          <w:rStyle w:val="IvDbodytextChar"/>
          <w:sz w:val="20"/>
          <w:szCs w:val="20"/>
        </w:rPr>
        <w:t xml:space="preserve"> in Soft (time and/or frequency) resources. For an </w:t>
      </w:r>
      <w:r w:rsidR="00F573B6" w:rsidRPr="00521A4E">
        <w:rPr>
          <w:rStyle w:val="IvDbodytextChar"/>
          <w:sz w:val="20"/>
          <w:szCs w:val="20"/>
        </w:rPr>
        <w:t>IAB-node</w:t>
      </w:r>
      <w:r w:rsidRPr="00521A4E">
        <w:rPr>
          <w:rStyle w:val="IvDbodytextChar"/>
          <w:sz w:val="20"/>
          <w:szCs w:val="20"/>
        </w:rPr>
        <w:t xml:space="preserve"> configured to operate in SDM, Soft resources may be available for space domain simultaneous operation through implicit indication, considering the newly adopted soft resource specification, that the IAB-DU can use a resource provided</w:t>
      </w:r>
    </w:p>
    <w:p w14:paraId="21AC7746" w14:textId="77777777" w:rsidR="009A6063" w:rsidRPr="00521A4E" w:rsidRDefault="009A6063" w:rsidP="007E3B07">
      <w:pPr>
        <w:pStyle w:val="BodyText"/>
        <w:ind w:left="567"/>
        <w:rPr>
          <w:rStyle w:val="IvDbodytextChar"/>
          <w:sz w:val="20"/>
          <w:lang w:eastAsia="en-US"/>
        </w:rPr>
      </w:pPr>
      <w:r w:rsidRPr="00521A4E">
        <w:rPr>
          <w:rStyle w:val="IvDbodytextChar"/>
          <w:i/>
          <w:sz w:val="20"/>
        </w:rPr>
        <w:t>the IAB-MT would transmit or receive in the symbol, and the transmission or reception in the symbol is not changed due to a use of the symbol by the IAB-DU</w:t>
      </w:r>
      <w:r w:rsidRPr="00521A4E">
        <w:rPr>
          <w:rStyle w:val="IvDbodytextChar"/>
          <w:sz w:val="20"/>
        </w:rPr>
        <w:t>.</w:t>
      </w:r>
    </w:p>
    <w:p w14:paraId="70688E5F" w14:textId="78F452C6" w:rsidR="009A6063" w:rsidRPr="00521A4E" w:rsidRDefault="009A6063" w:rsidP="007E3B07">
      <w:pPr>
        <w:pStyle w:val="BodyText"/>
        <w:rPr>
          <w:rStyle w:val="IvDbodytextChar"/>
          <w:sz w:val="20"/>
        </w:rPr>
      </w:pPr>
      <w:r w:rsidRPr="00521A4E">
        <w:rPr>
          <w:rStyle w:val="IvDbodytextChar"/>
          <w:sz w:val="20"/>
        </w:rPr>
        <w:t>This definition is also in line with our above assumed definition of implicit indication of frequency-domain Soft resources</w:t>
      </w:r>
      <w:r w:rsidR="00955D96" w:rsidRPr="00521A4E">
        <w:rPr>
          <w:rStyle w:val="IvDbodytextChar"/>
          <w:sz w:val="20"/>
        </w:rPr>
        <w:t xml:space="preserve"> (Section </w:t>
      </w:r>
      <w:r w:rsidR="00955D96" w:rsidRPr="00521A4E">
        <w:rPr>
          <w:rStyle w:val="IvDbodytextChar"/>
          <w:sz w:val="20"/>
        </w:rPr>
        <w:fldChar w:fldCharType="begin"/>
      </w:r>
      <w:r w:rsidR="00955D96" w:rsidRPr="00521A4E">
        <w:rPr>
          <w:rStyle w:val="IvDbodytextChar"/>
          <w:sz w:val="20"/>
        </w:rPr>
        <w:instrText xml:space="preserve"> REF _Ref58590315 \w \h </w:instrText>
      </w:r>
      <w:r w:rsidR="00AA3979" w:rsidRPr="00521A4E">
        <w:rPr>
          <w:rStyle w:val="IvDbodytextChar"/>
          <w:sz w:val="20"/>
        </w:rPr>
        <w:instrText xml:space="preserve"> \* MERGEFORMAT </w:instrText>
      </w:r>
      <w:r w:rsidR="00955D96" w:rsidRPr="00521A4E">
        <w:rPr>
          <w:rStyle w:val="IvDbodytextChar"/>
          <w:sz w:val="20"/>
        </w:rPr>
      </w:r>
      <w:r w:rsidR="00955D96" w:rsidRPr="00521A4E">
        <w:rPr>
          <w:rStyle w:val="IvDbodytextChar"/>
          <w:sz w:val="20"/>
        </w:rPr>
        <w:fldChar w:fldCharType="separate"/>
      </w:r>
      <w:r w:rsidR="00F201E9">
        <w:rPr>
          <w:rStyle w:val="IvDbodytextChar"/>
          <w:sz w:val="20"/>
        </w:rPr>
        <w:t>2.1.1</w:t>
      </w:r>
      <w:r w:rsidR="00955D96" w:rsidRPr="00521A4E">
        <w:rPr>
          <w:rStyle w:val="IvDbodytextChar"/>
          <w:sz w:val="20"/>
        </w:rPr>
        <w:fldChar w:fldCharType="end"/>
      </w:r>
      <w:r w:rsidR="00955D96" w:rsidRPr="00521A4E">
        <w:rPr>
          <w:rStyle w:val="IvDbodytextChar"/>
          <w:sz w:val="20"/>
        </w:rPr>
        <w:t>)</w:t>
      </w:r>
      <w:r w:rsidRPr="00521A4E">
        <w:rPr>
          <w:rStyle w:val="IvDbodytextChar"/>
          <w:sz w:val="20"/>
        </w:rPr>
        <w:t>,</w:t>
      </w:r>
    </w:p>
    <w:p w14:paraId="762AB976" w14:textId="5AC72DD9" w:rsidR="009A6063" w:rsidRPr="00521A4E" w:rsidRDefault="009A6063" w:rsidP="007E3B07">
      <w:pPr>
        <w:pStyle w:val="BodyText"/>
        <w:ind w:left="567"/>
        <w:rPr>
          <w:rFonts w:cs="Arial"/>
          <w:i/>
          <w:szCs w:val="20"/>
        </w:rPr>
      </w:pPr>
      <w:r w:rsidRPr="00521A4E">
        <w:rPr>
          <w:rFonts w:cs="Arial"/>
          <w:b/>
          <w:i/>
          <w:szCs w:val="20"/>
        </w:rPr>
        <w:t>For frequency-domain Soft resource:</w:t>
      </w:r>
      <w:r w:rsidRPr="00521A4E">
        <w:rPr>
          <w:rFonts w:cs="Arial"/>
          <w:i/>
          <w:szCs w:val="20"/>
        </w:rPr>
        <w:t xml:space="preserve"> the IAB-DU can use the resource only if it does not impact the MT’s actual ability to transmit and receive in any resource (i.e., both the same RB</w:t>
      </w:r>
      <w:r w:rsidR="00BE46A7" w:rsidRPr="00521A4E">
        <w:rPr>
          <w:rFonts w:cs="Arial"/>
          <w:i/>
          <w:szCs w:val="20"/>
        </w:rPr>
        <w:t>-</w:t>
      </w:r>
      <w:r w:rsidR="00E9437C" w:rsidRPr="00521A4E">
        <w:rPr>
          <w:rFonts w:cs="Arial"/>
          <w:i/>
          <w:szCs w:val="20"/>
        </w:rPr>
        <w:t>Set</w:t>
      </w:r>
      <w:r w:rsidRPr="00521A4E">
        <w:rPr>
          <w:rFonts w:cs="Arial"/>
          <w:i/>
          <w:szCs w:val="20"/>
        </w:rPr>
        <w:t xml:space="preserve"> and other RB</w:t>
      </w:r>
      <w:r w:rsidR="00BE46A7" w:rsidRPr="00521A4E">
        <w:rPr>
          <w:rFonts w:cs="Arial"/>
          <w:i/>
          <w:szCs w:val="20"/>
        </w:rPr>
        <w:t>-</w:t>
      </w:r>
      <w:r w:rsidR="00E9437C" w:rsidRPr="00521A4E">
        <w:rPr>
          <w:rFonts w:cs="Arial"/>
          <w:i/>
          <w:szCs w:val="20"/>
        </w:rPr>
        <w:t>Set</w:t>
      </w:r>
      <w:r w:rsidRPr="00521A4E">
        <w:rPr>
          <w:rFonts w:cs="Arial"/>
          <w:i/>
          <w:szCs w:val="20"/>
        </w:rPr>
        <w:t>s).</w:t>
      </w:r>
    </w:p>
    <w:p w14:paraId="7ABDEC97" w14:textId="77777777" w:rsidR="00822372" w:rsidRPr="00521A4E" w:rsidRDefault="00822372" w:rsidP="00F364B7">
      <w:pPr>
        <w:pStyle w:val="Proposal"/>
        <w:tabs>
          <w:tab w:val="clear" w:pos="1872"/>
        </w:tabs>
        <w:ind w:left="1304"/>
        <w:rPr>
          <w:lang w:eastAsia="ja-JP"/>
        </w:rPr>
      </w:pPr>
      <w:bookmarkStart w:id="156" w:name="_Toc87042258"/>
      <w:r w:rsidRPr="00521A4E">
        <w:t>SDM, including beam restrictions/recommendations, is restricted to Soft resources</w:t>
      </w:r>
      <w:r w:rsidRPr="00521A4E">
        <w:rPr>
          <w:lang w:eastAsia="ja-JP"/>
        </w:rPr>
        <w:t>.</w:t>
      </w:r>
      <w:bookmarkEnd w:id="156"/>
    </w:p>
    <w:p w14:paraId="34264768" w14:textId="61ACFFA6" w:rsidR="007605B7" w:rsidRPr="00521A4E" w:rsidRDefault="007605B7" w:rsidP="007E3B07">
      <w:pPr>
        <w:jc w:val="both"/>
      </w:pPr>
      <w:r w:rsidRPr="00521A4E">
        <w:t xml:space="preserve">It was agreed in </w:t>
      </w:r>
      <w:r w:rsidR="0076366B" w:rsidRPr="00521A4E">
        <w:rPr>
          <w:rStyle w:val="IvDbodytextChar"/>
          <w:sz w:val="20"/>
          <w:szCs w:val="20"/>
        </w:rPr>
        <w:t xml:space="preserve">the </w:t>
      </w:r>
      <w:r w:rsidRPr="00521A4E">
        <w:rPr>
          <w:rStyle w:val="IvDbodytextChar"/>
          <w:sz w:val="20"/>
          <w:szCs w:val="20"/>
        </w:rPr>
        <w:t>RAN1#105e</w:t>
      </w:r>
      <w:r w:rsidR="005B09CF" w:rsidRPr="00521A4E">
        <w:rPr>
          <w:rStyle w:val="IvDbodytextChar"/>
          <w:sz w:val="20"/>
          <w:szCs w:val="20"/>
        </w:rPr>
        <w:t xml:space="preserve"> and RAN1#106e</w:t>
      </w:r>
      <w:r w:rsidR="0076366B" w:rsidRPr="00521A4E">
        <w:rPr>
          <w:rStyle w:val="IvDbodytextChar"/>
          <w:sz w:val="20"/>
          <w:szCs w:val="20"/>
        </w:rPr>
        <w:t xml:space="preserve"> meeting that</w:t>
      </w:r>
      <w:r w:rsidRPr="00521A4E">
        <w:rPr>
          <w:rStyle w:val="IvDbodytextChar"/>
          <w:sz w:val="20"/>
          <w:szCs w:val="20"/>
        </w:rPr>
        <w:t xml:space="preserve"> the parent node can dynamically indicate to the child node at least one set of restricted beams at the IAB-DU of the child node. These beam restrictions, contrary to interference management restrictions, should only be applicable in resource</w:t>
      </w:r>
      <w:r w:rsidR="00191D2E" w:rsidRPr="00521A4E">
        <w:rPr>
          <w:rStyle w:val="IvDbodytextChar"/>
          <w:sz w:val="20"/>
          <w:szCs w:val="20"/>
        </w:rPr>
        <w:t>s</w:t>
      </w:r>
      <w:r w:rsidRPr="00521A4E">
        <w:rPr>
          <w:rStyle w:val="IvDbodytextChar"/>
          <w:sz w:val="20"/>
          <w:szCs w:val="20"/>
        </w:rPr>
        <w:t xml:space="preserve"> where SDM is used, i.e., Soft TDM/FDM slots. Accordingly, the time-domain or frequency-domain explicit availability indication for soft slots </w:t>
      </w:r>
      <w:r w:rsidR="000F01CE" w:rsidRPr="00521A4E">
        <w:rPr>
          <w:rStyle w:val="IvDbodytextChar"/>
          <w:sz w:val="20"/>
          <w:szCs w:val="20"/>
        </w:rPr>
        <w:t>could</w:t>
      </w:r>
      <w:r w:rsidRPr="00521A4E">
        <w:rPr>
          <w:rStyle w:val="IvDbodytextChar"/>
          <w:sz w:val="20"/>
          <w:szCs w:val="20"/>
        </w:rPr>
        <w:t xml:space="preserve"> override the SDM beam restrictions.</w:t>
      </w:r>
    </w:p>
    <w:p w14:paraId="18A2D6CA" w14:textId="213EDEC5" w:rsidR="00A91F71" w:rsidRPr="00F364B7" w:rsidRDefault="007605B7" w:rsidP="00F364B7">
      <w:pPr>
        <w:pStyle w:val="Proposal"/>
        <w:tabs>
          <w:tab w:val="clear" w:pos="1872"/>
        </w:tabs>
        <w:ind w:left="1304"/>
        <w:rPr>
          <w:rStyle w:val="IvDbodytextChar"/>
          <w:sz w:val="20"/>
        </w:rPr>
      </w:pPr>
      <w:bookmarkStart w:id="157" w:name="_Toc87042259"/>
      <w:r w:rsidRPr="00521A4E">
        <w:rPr>
          <w:lang w:eastAsia="ja-JP"/>
        </w:rPr>
        <w:t>Explicit availability indication overrides SDM beam restrictions in Soft resources.</w:t>
      </w:r>
      <w:bookmarkStart w:id="158" w:name="_Hlk75641102"/>
      <w:bookmarkEnd w:id="157"/>
    </w:p>
    <w:p w14:paraId="163DD2E8" w14:textId="202070D2" w:rsidR="00A91F71" w:rsidRPr="00521A4E" w:rsidRDefault="00A91F71" w:rsidP="007E3B07">
      <w:pPr>
        <w:pStyle w:val="BodyText"/>
        <w:rPr>
          <w:rStyle w:val="IvDbodytextChar"/>
          <w:sz w:val="20"/>
        </w:rPr>
      </w:pPr>
      <w:r w:rsidRPr="00521A4E">
        <w:rPr>
          <w:rStyle w:val="IvDbodytextChar"/>
          <w:sz w:val="20"/>
        </w:rPr>
        <w:t xml:space="preserve">We think parent node beam restriction is only relevant for parent node reception, corresponding to simultaneous transmission at the IAB node, either in a TDM or FDM soft resource. There is no </w:t>
      </w:r>
      <w:r w:rsidR="00637344" w:rsidRPr="00521A4E">
        <w:rPr>
          <w:rStyle w:val="IvDbodytextChar"/>
          <w:sz w:val="20"/>
        </w:rPr>
        <w:t>need for the parent node to indicate</w:t>
      </w:r>
      <w:r w:rsidRPr="00521A4E">
        <w:rPr>
          <w:rStyle w:val="IvDbodytextChar"/>
          <w:sz w:val="20"/>
        </w:rPr>
        <w:t xml:space="preserve"> </w:t>
      </w:r>
      <w:r w:rsidR="00637344" w:rsidRPr="00521A4E">
        <w:rPr>
          <w:rStyle w:val="IvDbodytextChar"/>
          <w:sz w:val="20"/>
        </w:rPr>
        <w:t xml:space="preserve">either multiplexing mode or IAB-DU resource configuration which should be associated </w:t>
      </w:r>
      <w:r w:rsidR="00354409" w:rsidRPr="00521A4E">
        <w:rPr>
          <w:rStyle w:val="IvDbodytextChar"/>
          <w:sz w:val="20"/>
        </w:rPr>
        <w:t>with</w:t>
      </w:r>
      <w:r w:rsidR="00637344" w:rsidRPr="00521A4E">
        <w:rPr>
          <w:rStyle w:val="IvDbodytextChar"/>
          <w:sz w:val="20"/>
        </w:rPr>
        <w:t xml:space="preserve"> </w:t>
      </w:r>
      <w:r w:rsidR="00856CCB" w:rsidRPr="00521A4E">
        <w:rPr>
          <w:rStyle w:val="IvDbodytextChar"/>
          <w:sz w:val="20"/>
        </w:rPr>
        <w:t>the</w:t>
      </w:r>
      <w:r w:rsidR="00637344" w:rsidRPr="00521A4E">
        <w:rPr>
          <w:rStyle w:val="IvDbodytextChar"/>
          <w:sz w:val="20"/>
        </w:rPr>
        <w:t xml:space="preserve"> restricted IAB-DU beams. </w:t>
      </w:r>
      <w:r w:rsidR="00120BA7" w:rsidRPr="00521A4E">
        <w:rPr>
          <w:rStyle w:val="IvDbodytextChar"/>
          <w:sz w:val="20"/>
        </w:rPr>
        <w:t xml:space="preserve">If the set of restricted IAB-DU DL TX beams is indicated per IAB-MT’s UL TX beam, the indication can use the corresponding parent node DL RS ID which is associated to </w:t>
      </w:r>
      <w:r w:rsidR="00BB06A1" w:rsidRPr="00521A4E">
        <w:rPr>
          <w:rStyle w:val="IvDbodytextChar"/>
          <w:sz w:val="20"/>
        </w:rPr>
        <w:t xml:space="preserve">the </w:t>
      </w:r>
      <w:r w:rsidR="00120BA7" w:rsidRPr="00521A4E">
        <w:rPr>
          <w:rStyle w:val="IvDbodytextChar"/>
          <w:sz w:val="20"/>
        </w:rPr>
        <w:t>IAB-MT’s UL TX beam.</w:t>
      </w:r>
    </w:p>
    <w:p w14:paraId="09E1BC72" w14:textId="4D6F9253" w:rsidR="00A91F71" w:rsidRPr="00F364B7" w:rsidRDefault="00A91F71" w:rsidP="00F364B7">
      <w:pPr>
        <w:pStyle w:val="Proposal"/>
        <w:tabs>
          <w:tab w:val="clear" w:pos="1872"/>
        </w:tabs>
        <w:ind w:left="1304"/>
        <w:rPr>
          <w:rStyle w:val="IvDbodytextChar"/>
          <w:sz w:val="20"/>
        </w:rPr>
      </w:pPr>
      <w:bookmarkStart w:id="159" w:name="_Toc87042260"/>
      <w:r w:rsidRPr="00521A4E">
        <w:rPr>
          <w:lang w:eastAsia="ja-JP"/>
        </w:rPr>
        <w:t>The restricted beam indication from the parent node to the IAB node may be indicated to be associated to IAB-MT’s UL TX beam, via the parent node’s DL RS ID (e.g., SSB ID).</w:t>
      </w:r>
      <w:bookmarkEnd w:id="159"/>
    </w:p>
    <w:p w14:paraId="62DCBB20" w14:textId="3A16C2D9" w:rsidR="00785396" w:rsidRPr="00521A4E" w:rsidRDefault="00785396" w:rsidP="007E3B07">
      <w:pPr>
        <w:pStyle w:val="BodyText"/>
        <w:rPr>
          <w:rStyle w:val="IvDbodytextChar"/>
          <w:sz w:val="20"/>
        </w:rPr>
      </w:pPr>
      <w:r w:rsidRPr="00521A4E">
        <w:rPr>
          <w:rStyle w:val="IvDbodytextChar"/>
          <w:sz w:val="20"/>
        </w:rPr>
        <w:t xml:space="preserve">In the RAN1#106bis-e meeting, RS ID, at least SSB ID, was agreed </w:t>
      </w:r>
      <w:r w:rsidR="00AA4413" w:rsidRPr="00521A4E">
        <w:rPr>
          <w:rStyle w:val="IvDbodytextChar"/>
          <w:sz w:val="20"/>
        </w:rPr>
        <w:t xml:space="preserve">for </w:t>
      </w:r>
      <w:r w:rsidR="00801D41" w:rsidRPr="00521A4E">
        <w:rPr>
          <w:rStyle w:val="IvDbodytextChar"/>
          <w:sz w:val="20"/>
        </w:rPr>
        <w:t>indication of</w:t>
      </w:r>
      <w:r w:rsidR="00AA4413" w:rsidRPr="00521A4E">
        <w:rPr>
          <w:rStyle w:val="IvDbodytextChar"/>
          <w:sz w:val="20"/>
        </w:rPr>
        <w:t xml:space="preserve"> restricted </w:t>
      </w:r>
      <w:r w:rsidR="00FD4C33" w:rsidRPr="00521A4E">
        <w:rPr>
          <w:rStyle w:val="IvDbodytextChar"/>
          <w:sz w:val="20"/>
        </w:rPr>
        <w:t xml:space="preserve">IAB-DU </w:t>
      </w:r>
      <w:r w:rsidR="00AA4413" w:rsidRPr="00521A4E">
        <w:rPr>
          <w:rStyle w:val="IvDbodytextChar"/>
          <w:sz w:val="20"/>
        </w:rPr>
        <w:t>beams.</w:t>
      </w:r>
      <w:r w:rsidRPr="00521A4E">
        <w:rPr>
          <w:rStyle w:val="IvDbodytextChar"/>
          <w:sz w:val="20"/>
        </w:rPr>
        <w:t xml:space="preserve"> For IAB node discovery and measurement, an IAB node DU can be configured with maximum 4 STCs, and all parameters in STC are provided explicitly, including the index of SSBs to transmit. This means the specification allows each STC to have individual mapping between SSB beams and indices. Hence, to avoid ambiguity, it is reasonable to provide STC index in additional to SSB ID.</w:t>
      </w:r>
    </w:p>
    <w:p w14:paraId="1945FFA5" w14:textId="70E1C4E1" w:rsidR="007605B7" w:rsidRPr="00521A4E" w:rsidRDefault="00785396" w:rsidP="007E3B07">
      <w:pPr>
        <w:pStyle w:val="BodyText"/>
        <w:rPr>
          <w:rStyle w:val="IvDbodytextChar"/>
          <w:sz w:val="20"/>
        </w:rPr>
      </w:pPr>
      <w:r w:rsidRPr="00521A4E">
        <w:rPr>
          <w:rStyle w:val="IvDbodytextChar"/>
          <w:sz w:val="20"/>
        </w:rPr>
        <w:t>Regarding additional RS, we think</w:t>
      </w:r>
      <w:r w:rsidR="00AA4413" w:rsidRPr="00521A4E">
        <w:rPr>
          <w:rStyle w:val="IvDbodytextChar"/>
          <w:sz w:val="20"/>
        </w:rPr>
        <w:t xml:space="preserve"> specific CSI-RS beams, carrying PDSCH, or SRS beams, carrying PUSCH may both be mapped to a specific SSB, allowing the set to be relevant also for these beams.</w:t>
      </w:r>
      <w:r w:rsidR="00EA0B6C" w:rsidRPr="00521A4E">
        <w:rPr>
          <w:rStyle w:val="IvDbodytextChar"/>
          <w:sz w:val="20"/>
        </w:rPr>
        <w:t xml:space="preserve"> </w:t>
      </w:r>
      <w:r w:rsidR="007167FB" w:rsidRPr="00521A4E">
        <w:rPr>
          <w:rStyle w:val="IvDbodytextChar"/>
          <w:sz w:val="20"/>
        </w:rPr>
        <w:lastRenderedPageBreak/>
        <w:t>Considering the difference at task compared to the normal TCI beam combination, i.e., determining interfering beams instead of selecting a few best beams,</w:t>
      </w:r>
      <w:r w:rsidR="007243AE" w:rsidRPr="00521A4E">
        <w:rPr>
          <w:rStyle w:val="IvDbodytextChar"/>
          <w:sz w:val="20"/>
        </w:rPr>
        <w:t xml:space="preserve"> </w:t>
      </w:r>
      <w:r w:rsidR="00356927" w:rsidRPr="00521A4E">
        <w:rPr>
          <w:rStyle w:val="IvDbodytextChar"/>
          <w:sz w:val="20"/>
        </w:rPr>
        <w:t xml:space="preserve">using </w:t>
      </w:r>
      <w:r w:rsidR="007243AE" w:rsidRPr="00521A4E">
        <w:rPr>
          <w:rStyle w:val="IvDbodytextChar"/>
          <w:sz w:val="20"/>
        </w:rPr>
        <w:t xml:space="preserve">SSBs </w:t>
      </w:r>
      <w:r w:rsidR="00356927" w:rsidRPr="00521A4E">
        <w:rPr>
          <w:rStyle w:val="IvDbodytextChar"/>
          <w:sz w:val="20"/>
        </w:rPr>
        <w:t>will provide a sufficient resolution in the beam restriction</w:t>
      </w:r>
      <w:r w:rsidR="007243AE" w:rsidRPr="00521A4E">
        <w:rPr>
          <w:rStyle w:val="IvDbodytextChar"/>
          <w:sz w:val="20"/>
        </w:rPr>
        <w:t xml:space="preserve">. </w:t>
      </w:r>
      <w:r w:rsidR="003B535B" w:rsidRPr="00521A4E">
        <w:rPr>
          <w:rStyle w:val="IvDbodytextChar"/>
          <w:sz w:val="20"/>
        </w:rPr>
        <w:t>On the c</w:t>
      </w:r>
      <w:r w:rsidR="00356927" w:rsidRPr="00521A4E">
        <w:rPr>
          <w:rStyle w:val="IvDbodytextChar"/>
          <w:sz w:val="20"/>
        </w:rPr>
        <w:t>ontrary, d</w:t>
      </w:r>
      <w:r w:rsidR="007243AE" w:rsidRPr="00521A4E">
        <w:rPr>
          <w:rStyle w:val="IvDbodytextChar"/>
          <w:sz w:val="20"/>
        </w:rPr>
        <w:t xml:space="preserve">etermining the restricted beams based on CSI-RS or SRS would necessitate more </w:t>
      </w:r>
      <w:r w:rsidR="00356927" w:rsidRPr="00521A4E">
        <w:rPr>
          <w:rStyle w:val="IvDbodytextChar"/>
          <w:sz w:val="20"/>
        </w:rPr>
        <w:t xml:space="preserve">measurements and a more </w:t>
      </w:r>
      <w:r w:rsidR="007243AE" w:rsidRPr="00521A4E">
        <w:rPr>
          <w:rStyle w:val="IvDbodytextChar"/>
          <w:sz w:val="20"/>
        </w:rPr>
        <w:t>complicated beam restriction procedure in order to first determine which CSI-RS or SRS beams were used, and then perform measurements on said beams.</w:t>
      </w:r>
      <w:r w:rsidR="00DE5DF6" w:rsidRPr="00521A4E">
        <w:rPr>
          <w:rStyle w:val="IvDbodytextChar"/>
          <w:sz w:val="20"/>
        </w:rPr>
        <w:t xml:space="preserve"> </w:t>
      </w:r>
      <w:r w:rsidR="004F6CE8" w:rsidRPr="00521A4E">
        <w:rPr>
          <w:rStyle w:val="IvDbodytextChar"/>
          <w:sz w:val="20"/>
        </w:rPr>
        <w:t>Furthermore, considering beam restriction is a DU</w:t>
      </w:r>
      <w:r w:rsidR="006F797A" w:rsidRPr="00521A4E">
        <w:rPr>
          <w:rStyle w:val="IvDbodytextChar"/>
          <w:sz w:val="20"/>
        </w:rPr>
        <w:t>-to-DU operation, i.e., a DU measuring on another DU’s signal</w:t>
      </w:r>
      <w:r w:rsidR="004F6CE8" w:rsidRPr="00521A4E">
        <w:rPr>
          <w:rStyle w:val="IvDbodytextChar"/>
          <w:sz w:val="20"/>
        </w:rPr>
        <w:t xml:space="preserve">, using CSI-RS or SRS increase complexity in that functionality to </w:t>
      </w:r>
      <w:r w:rsidR="006F797A" w:rsidRPr="00521A4E">
        <w:rPr>
          <w:rStyle w:val="IvDbodytextChar"/>
          <w:sz w:val="20"/>
        </w:rPr>
        <w:t xml:space="preserve">either receive and </w:t>
      </w:r>
      <w:r w:rsidR="004F6CE8" w:rsidRPr="00521A4E">
        <w:rPr>
          <w:rStyle w:val="IvDbodytextChar"/>
          <w:sz w:val="20"/>
        </w:rPr>
        <w:t>perform measurements on CSI-RS</w:t>
      </w:r>
      <w:r w:rsidR="006F797A" w:rsidRPr="00521A4E">
        <w:rPr>
          <w:rStyle w:val="IvDbodytextChar"/>
          <w:sz w:val="20"/>
        </w:rPr>
        <w:t>,</w:t>
      </w:r>
      <w:r w:rsidR="004F6CE8" w:rsidRPr="00521A4E">
        <w:rPr>
          <w:rStyle w:val="IvDbodytextChar"/>
          <w:sz w:val="20"/>
        </w:rPr>
        <w:t xml:space="preserve"> or to transmit SRS</w:t>
      </w:r>
      <w:r w:rsidR="006F797A" w:rsidRPr="00521A4E">
        <w:rPr>
          <w:rStyle w:val="IvDbodytextChar"/>
          <w:sz w:val="20"/>
        </w:rPr>
        <w:t>,</w:t>
      </w:r>
      <w:r w:rsidR="004F6CE8" w:rsidRPr="00521A4E">
        <w:rPr>
          <w:rStyle w:val="IvDbodytextChar"/>
          <w:sz w:val="20"/>
        </w:rPr>
        <w:t xml:space="preserve"> will be required. </w:t>
      </w:r>
      <w:r w:rsidR="003B535B" w:rsidRPr="00521A4E">
        <w:rPr>
          <w:rStyle w:val="IvDbodytextChar"/>
          <w:sz w:val="20"/>
        </w:rPr>
        <w:t>Different from</w:t>
      </w:r>
      <w:r w:rsidR="00EA0B6C" w:rsidRPr="00521A4E">
        <w:rPr>
          <w:rStyle w:val="IvDbodytextChar"/>
          <w:sz w:val="20"/>
        </w:rPr>
        <w:t xml:space="preserve"> the legacy beam management procedure, the IAB-DU should sweep its SSB beams while the parent IAB-MT performs the measurement and determines the set of restricted IAB-DU DL TX beams. </w:t>
      </w:r>
      <w:bookmarkEnd w:id="158"/>
    </w:p>
    <w:p w14:paraId="73AED807" w14:textId="4FE66E90" w:rsidR="00983504" w:rsidRPr="00521A4E" w:rsidRDefault="00F92769" w:rsidP="00F364B7">
      <w:pPr>
        <w:pStyle w:val="Proposal"/>
        <w:tabs>
          <w:tab w:val="clear" w:pos="1872"/>
        </w:tabs>
        <w:ind w:left="1304"/>
        <w:rPr>
          <w:lang w:eastAsia="ja-JP"/>
        </w:rPr>
      </w:pPr>
      <w:bookmarkStart w:id="160" w:name="_Toc87042261"/>
      <w:r w:rsidRPr="00521A4E">
        <w:rPr>
          <w:lang w:eastAsia="ja-JP"/>
        </w:rPr>
        <w:t>RS ID (</w:t>
      </w:r>
      <w:r w:rsidR="00785396" w:rsidRPr="00521A4E">
        <w:rPr>
          <w:lang w:eastAsia="ja-JP"/>
        </w:rPr>
        <w:t>including</w:t>
      </w:r>
      <w:r w:rsidRPr="00521A4E">
        <w:rPr>
          <w:lang w:eastAsia="ja-JP"/>
        </w:rPr>
        <w:t xml:space="preserve"> SSB index</w:t>
      </w:r>
      <w:r w:rsidR="00785396" w:rsidRPr="00521A4E">
        <w:rPr>
          <w:lang w:eastAsia="ja-JP"/>
        </w:rPr>
        <w:t xml:space="preserve"> and STC index</w:t>
      </w:r>
      <w:r w:rsidRPr="00521A4E">
        <w:rPr>
          <w:lang w:eastAsia="ja-JP"/>
        </w:rPr>
        <w:t xml:space="preserve">) is </w:t>
      </w:r>
      <w:r w:rsidR="00785396" w:rsidRPr="00521A4E">
        <w:rPr>
          <w:lang w:eastAsia="ja-JP"/>
        </w:rPr>
        <w:t>sufficient</w:t>
      </w:r>
      <w:r w:rsidRPr="00521A4E">
        <w:rPr>
          <w:lang w:eastAsia="ja-JP"/>
        </w:rPr>
        <w:t xml:space="preserve"> </w:t>
      </w:r>
      <w:r w:rsidR="00822372" w:rsidRPr="00521A4E">
        <w:rPr>
          <w:lang w:eastAsia="ja-JP"/>
        </w:rPr>
        <w:t>for</w:t>
      </w:r>
      <w:r w:rsidR="008420EC" w:rsidRPr="00521A4E">
        <w:rPr>
          <w:lang w:eastAsia="ja-JP"/>
        </w:rPr>
        <w:t xml:space="preserve"> </w:t>
      </w:r>
      <w:r w:rsidRPr="00521A4E">
        <w:rPr>
          <w:lang w:eastAsia="ja-JP"/>
        </w:rPr>
        <w:t xml:space="preserve">a parent node to indicate beams of an IAB-DU in the direction </w:t>
      </w:r>
      <w:r w:rsidR="00822372" w:rsidRPr="00521A4E">
        <w:rPr>
          <w:lang w:eastAsia="ja-JP"/>
        </w:rPr>
        <w:t>in</w:t>
      </w:r>
      <w:r w:rsidRPr="00521A4E">
        <w:rPr>
          <w:lang w:eastAsia="ja-JP"/>
        </w:rPr>
        <w:t xml:space="preserve"> which simultaneous operation is restricted.</w:t>
      </w:r>
      <w:bookmarkStart w:id="161" w:name="_Toc84008869"/>
      <w:bookmarkEnd w:id="161"/>
      <w:bookmarkEnd w:id="160"/>
    </w:p>
    <w:p w14:paraId="65DAC0FB" w14:textId="79052EA8" w:rsidR="00702ABB" w:rsidRPr="00521A4E" w:rsidRDefault="007605B7" w:rsidP="007E3B07">
      <w:pPr>
        <w:jc w:val="both"/>
        <w:rPr>
          <w:rStyle w:val="IvDbodytextChar"/>
          <w:sz w:val="20"/>
        </w:rPr>
      </w:pPr>
      <w:r w:rsidRPr="00521A4E">
        <w:rPr>
          <w:rStyle w:val="IvDbodytextChar"/>
          <w:sz w:val="20"/>
        </w:rPr>
        <w:t xml:space="preserve">In </w:t>
      </w:r>
      <w:r w:rsidRPr="00521A4E" w:rsidDel="00D8412F">
        <w:rPr>
          <w:rStyle w:val="IvDbodytextChar"/>
          <w:sz w:val="20"/>
        </w:rPr>
        <w:t>RAN1#</w:t>
      </w:r>
      <w:r w:rsidR="00663CC3" w:rsidRPr="00521A4E">
        <w:rPr>
          <w:rStyle w:val="IvDbodytextChar"/>
          <w:sz w:val="20"/>
        </w:rPr>
        <w:t>106e</w:t>
      </w:r>
      <w:r w:rsidRPr="00521A4E">
        <w:rPr>
          <w:rStyle w:val="IvDbodytextChar"/>
          <w:sz w:val="20"/>
        </w:rPr>
        <w:t>, it was</w:t>
      </w:r>
      <w:r w:rsidRPr="00521A4E" w:rsidDel="00D8412F">
        <w:rPr>
          <w:rStyle w:val="IvDbodytextChar"/>
          <w:sz w:val="20"/>
        </w:rPr>
        <w:t xml:space="preserve"> </w:t>
      </w:r>
      <w:r w:rsidRPr="00521A4E">
        <w:rPr>
          <w:rStyle w:val="IvDbodytextChar"/>
          <w:sz w:val="20"/>
        </w:rPr>
        <w:t>agreed that a child node can dynamically report to the parent node a set of recommended beams</w:t>
      </w:r>
      <w:r w:rsidR="00D8412F" w:rsidRPr="00521A4E">
        <w:rPr>
          <w:rStyle w:val="IvDbodytextChar"/>
          <w:sz w:val="20"/>
        </w:rPr>
        <w:t xml:space="preserve">. </w:t>
      </w:r>
      <w:r w:rsidR="00702ABB" w:rsidRPr="00521A4E">
        <w:rPr>
          <w:rStyle w:val="IvDbodytextChar"/>
          <w:sz w:val="20"/>
        </w:rPr>
        <w:t>T</w:t>
      </w:r>
      <w:r w:rsidR="00DD7786" w:rsidRPr="00521A4E">
        <w:rPr>
          <w:rStyle w:val="IvDbodytextChar"/>
          <w:sz w:val="20"/>
        </w:rPr>
        <w:t xml:space="preserve">he evaluation of the IAB-MT beams, including DL RX beams and UL TX beams, can reuse the legacy beam management framework. </w:t>
      </w:r>
      <w:r w:rsidR="00702ABB" w:rsidRPr="00521A4E">
        <w:rPr>
          <w:rStyle w:val="IvDbodytextChar"/>
          <w:sz w:val="20"/>
        </w:rPr>
        <w:t xml:space="preserve">For both UL IAB-TX beam and DL IAB-RX beam, RS ID, in terms of SSB ID and CSI-RS ID, should be sufficient, with </w:t>
      </w:r>
      <w:r w:rsidR="006562F1" w:rsidRPr="00521A4E">
        <w:rPr>
          <w:rStyle w:val="IvDbodytextChar"/>
          <w:sz w:val="20"/>
        </w:rPr>
        <w:t xml:space="preserve">the </w:t>
      </w:r>
      <w:r w:rsidR="00702ABB" w:rsidRPr="00521A4E">
        <w:rPr>
          <w:rStyle w:val="IvDbodytextChar"/>
          <w:sz w:val="20"/>
        </w:rPr>
        <w:t>least specification impact.</w:t>
      </w:r>
    </w:p>
    <w:p w14:paraId="0958D1BC" w14:textId="2B86EF5A" w:rsidR="00A94C5B" w:rsidRPr="00521A4E" w:rsidRDefault="008420EC" w:rsidP="00F364B7">
      <w:pPr>
        <w:pStyle w:val="Proposal"/>
        <w:tabs>
          <w:tab w:val="clear" w:pos="1872"/>
        </w:tabs>
        <w:ind w:left="1304"/>
        <w:rPr>
          <w:lang w:eastAsia="ja-JP"/>
        </w:rPr>
      </w:pPr>
      <w:bookmarkStart w:id="162" w:name="_Toc87042262"/>
      <w:r w:rsidRPr="00521A4E">
        <w:rPr>
          <w:lang w:eastAsia="ja-JP"/>
        </w:rPr>
        <w:t>RS ID</w:t>
      </w:r>
      <w:r w:rsidR="00702ABB" w:rsidRPr="00521A4E">
        <w:rPr>
          <w:lang w:eastAsia="ja-JP"/>
        </w:rPr>
        <w:t xml:space="preserve"> (</w:t>
      </w:r>
      <w:r w:rsidR="008B6548" w:rsidRPr="00521A4E">
        <w:rPr>
          <w:lang w:eastAsia="ja-JP"/>
        </w:rPr>
        <w:t xml:space="preserve">parent node’s </w:t>
      </w:r>
      <w:r w:rsidR="00702ABB" w:rsidRPr="00521A4E">
        <w:rPr>
          <w:lang w:eastAsia="ja-JP"/>
        </w:rPr>
        <w:t>SSB ID and CSI-RS ID)</w:t>
      </w:r>
      <w:r w:rsidRPr="00521A4E">
        <w:rPr>
          <w:lang w:eastAsia="ja-JP"/>
        </w:rPr>
        <w:t xml:space="preserve"> is used by a</w:t>
      </w:r>
      <w:r w:rsidR="00C2538D" w:rsidRPr="00521A4E">
        <w:rPr>
          <w:lang w:eastAsia="ja-JP"/>
        </w:rPr>
        <w:t xml:space="preserve"> child node</w:t>
      </w:r>
      <w:r w:rsidRPr="00521A4E">
        <w:rPr>
          <w:lang w:eastAsia="ja-JP"/>
        </w:rPr>
        <w:t xml:space="preserve"> to</w:t>
      </w:r>
      <w:r w:rsidR="00C2538D" w:rsidRPr="00521A4E">
        <w:rPr>
          <w:lang w:eastAsia="ja-JP"/>
        </w:rPr>
        <w:t xml:space="preserve"> indicate a set of </w:t>
      </w:r>
      <w:r w:rsidR="007605B7" w:rsidRPr="00521A4E">
        <w:rPr>
          <w:lang w:eastAsia="ja-JP"/>
        </w:rPr>
        <w:t xml:space="preserve">preferred beams </w:t>
      </w:r>
      <w:r w:rsidR="00C2538D" w:rsidRPr="00521A4E">
        <w:rPr>
          <w:lang w:eastAsia="ja-JP"/>
        </w:rPr>
        <w:t>to the parent node</w:t>
      </w:r>
      <w:r w:rsidR="00702ABB" w:rsidRPr="00521A4E">
        <w:rPr>
          <w:lang w:eastAsia="ja-JP"/>
        </w:rPr>
        <w:t xml:space="preserve"> for both IAB-MT UL TX beam and DL RX beam</w:t>
      </w:r>
      <w:r w:rsidRPr="00521A4E">
        <w:rPr>
          <w:lang w:eastAsia="ja-JP"/>
        </w:rPr>
        <w:t>.</w:t>
      </w:r>
      <w:bookmarkEnd w:id="162"/>
    </w:p>
    <w:p w14:paraId="29EF19B6" w14:textId="0E575A44" w:rsidR="00E86A38" w:rsidRPr="00521A4E" w:rsidRDefault="00E86A38" w:rsidP="007E3B07">
      <w:pPr>
        <w:pStyle w:val="Heading2"/>
        <w:jc w:val="both"/>
        <w:rPr>
          <w:lang w:val="en-US"/>
        </w:rPr>
      </w:pPr>
      <w:bookmarkStart w:id="163" w:name="_Ref68176278"/>
      <w:r w:rsidRPr="00521A4E">
        <w:rPr>
          <w:lang w:val="en-US"/>
        </w:rPr>
        <w:t>Guard symbols for IAB-MT and IAB-DU resource misalignment</w:t>
      </w:r>
      <w:bookmarkEnd w:id="163"/>
    </w:p>
    <w:p w14:paraId="297F7BD5" w14:textId="52F20545" w:rsidR="00A8063D" w:rsidRPr="00521A4E" w:rsidRDefault="00A8063D" w:rsidP="007E3B07">
      <w:pPr>
        <w:jc w:val="both"/>
        <w:rPr>
          <w:rFonts w:cs="Arial"/>
          <w:szCs w:val="20"/>
        </w:rPr>
      </w:pPr>
      <w:r w:rsidRPr="00521A4E">
        <w:rPr>
          <w:rFonts w:cs="Arial"/>
          <w:szCs w:val="20"/>
        </w:rPr>
        <w:t>In RAN1#106</w:t>
      </w:r>
      <w:r w:rsidR="000F4F50" w:rsidRPr="00521A4E">
        <w:rPr>
          <w:rFonts w:cs="Arial"/>
          <w:szCs w:val="20"/>
        </w:rPr>
        <w:t>bis</w:t>
      </w:r>
      <w:r w:rsidRPr="00521A4E">
        <w:rPr>
          <w:rFonts w:cs="Arial"/>
          <w:szCs w:val="20"/>
        </w:rPr>
        <w:t>-e, the following objectives of multiplexing capability signaling were agreed</w:t>
      </w:r>
      <w:r w:rsidR="000F4F50" w:rsidRPr="00521A4E">
        <w:rPr>
          <w:rFonts w:cs="Arial"/>
          <w:szCs w:val="20"/>
        </w:rPr>
        <w:t xml:space="preserve"> </w:t>
      </w:r>
      <w:r w:rsidR="000F4F50" w:rsidRPr="00521A4E">
        <w:rPr>
          <w:rFonts w:cs="Arial"/>
          <w:szCs w:val="20"/>
        </w:rPr>
        <w:fldChar w:fldCharType="begin"/>
      </w:r>
      <w:r w:rsidR="000F4F50" w:rsidRPr="00521A4E">
        <w:rPr>
          <w:rFonts w:cs="Arial"/>
          <w:szCs w:val="20"/>
        </w:rPr>
        <w:instrText xml:space="preserve"> REF _Ref85313944 \r \h </w:instrText>
      </w:r>
      <w:r w:rsidR="000F4F50" w:rsidRPr="00521A4E">
        <w:rPr>
          <w:rFonts w:cs="Arial"/>
          <w:szCs w:val="20"/>
        </w:rPr>
      </w:r>
      <w:r w:rsidR="007E3B07" w:rsidRPr="00521A4E">
        <w:rPr>
          <w:rFonts w:cs="Arial"/>
          <w:szCs w:val="20"/>
        </w:rPr>
        <w:instrText xml:space="preserve"> \* MERGEFORMAT </w:instrText>
      </w:r>
      <w:r w:rsidR="000F4F50" w:rsidRPr="00521A4E">
        <w:rPr>
          <w:rFonts w:cs="Arial"/>
          <w:szCs w:val="20"/>
        </w:rPr>
        <w:fldChar w:fldCharType="separate"/>
      </w:r>
      <w:r w:rsidR="00F201E9">
        <w:rPr>
          <w:rFonts w:cs="Arial"/>
          <w:szCs w:val="20"/>
        </w:rPr>
        <w:t>[4]</w:t>
      </w:r>
      <w:r w:rsidR="000F4F50"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A8063D" w:rsidRPr="00521A4E" w14:paraId="67FE79AE" w14:textId="77777777" w:rsidTr="00A67EBE">
        <w:tc>
          <w:tcPr>
            <w:tcW w:w="9629" w:type="dxa"/>
          </w:tcPr>
          <w:p w14:paraId="64B412EA" w14:textId="77777777" w:rsidR="008569A9" w:rsidRPr="00521A4E" w:rsidRDefault="008569A9" w:rsidP="007E3B07">
            <w:pPr>
              <w:jc w:val="both"/>
              <w:rPr>
                <w:rFonts w:cs="Times"/>
                <w:b/>
                <w:sz w:val="20"/>
                <w:szCs w:val="20"/>
                <w:highlight w:val="green"/>
              </w:rPr>
            </w:pPr>
            <w:r w:rsidRPr="00521A4E">
              <w:rPr>
                <w:rFonts w:cs="Times"/>
                <w:b/>
                <w:sz w:val="20"/>
                <w:szCs w:val="20"/>
                <w:highlight w:val="green"/>
              </w:rPr>
              <w:t>Agreement</w:t>
            </w:r>
          </w:p>
          <w:p w14:paraId="7132A1E3" w14:textId="77777777" w:rsidR="009113AB" w:rsidRPr="00521A4E" w:rsidRDefault="009113AB" w:rsidP="007E3B07">
            <w:pPr>
              <w:jc w:val="both"/>
              <w:rPr>
                <w:rFonts w:cs="Times"/>
                <w:b/>
                <w:sz w:val="20"/>
                <w:szCs w:val="20"/>
                <w:lang w:eastAsia="zh-CN"/>
              </w:rPr>
            </w:pPr>
            <w:r w:rsidRPr="00521A4E">
              <w:rPr>
                <w:rStyle w:val="Strong"/>
                <w:rFonts w:cs="Times"/>
                <w:b w:val="0"/>
                <w:sz w:val="20"/>
                <w:szCs w:val="20"/>
                <w:lang w:eastAsia="zh-CN"/>
              </w:rPr>
              <w:t>The MAC-CE signaling of Desired/Provided Guard Symbols is enhanced to optionally indicate the number of guard symbols required for switching between at least the following cases:</w:t>
            </w:r>
          </w:p>
          <w:p w14:paraId="3E798138" w14:textId="77777777" w:rsidR="009113AB" w:rsidRPr="00521A4E" w:rsidRDefault="009113AB" w:rsidP="007E3B07">
            <w:pPr>
              <w:numPr>
                <w:ilvl w:val="0"/>
                <w:numId w:val="33"/>
              </w:numPr>
              <w:spacing w:after="0" w:line="240" w:lineRule="auto"/>
              <w:jc w:val="both"/>
              <w:rPr>
                <w:rFonts w:eastAsia="SimSun" w:cs="Times"/>
                <w:b/>
                <w:sz w:val="20"/>
                <w:szCs w:val="20"/>
                <w:lang w:eastAsia="zh-CN"/>
              </w:rPr>
            </w:pPr>
            <w:r w:rsidRPr="00521A4E">
              <w:rPr>
                <w:rStyle w:val="Strong"/>
                <w:rFonts w:eastAsia="Times New Roman" w:cs="Times"/>
                <w:b w:val="0"/>
                <w:sz w:val="20"/>
                <w:szCs w:val="20"/>
                <w:lang w:eastAsia="zh-CN"/>
              </w:rPr>
              <w:t>Case#6 MT Tx and [Case #7] DU [Tx]/Rx</w:t>
            </w:r>
          </w:p>
          <w:p w14:paraId="565F0FA5" w14:textId="77777777" w:rsidR="009113AB" w:rsidRPr="00521A4E" w:rsidRDefault="009113AB" w:rsidP="007E3B07">
            <w:pPr>
              <w:numPr>
                <w:ilvl w:val="0"/>
                <w:numId w:val="33"/>
              </w:numPr>
              <w:spacing w:after="0" w:line="240" w:lineRule="auto"/>
              <w:jc w:val="both"/>
              <w:rPr>
                <w:rStyle w:val="Strong"/>
                <w:rFonts w:eastAsia="Times New Roman"/>
                <w:b w:val="0"/>
                <w:sz w:val="20"/>
                <w:szCs w:val="20"/>
                <w:lang w:eastAsia="zh-CN"/>
              </w:rPr>
            </w:pPr>
            <w:r w:rsidRPr="00521A4E">
              <w:rPr>
                <w:rStyle w:val="Strong"/>
                <w:rFonts w:eastAsia="Times New Roman"/>
                <w:b w:val="0"/>
                <w:sz w:val="20"/>
                <w:szCs w:val="20"/>
                <w:lang w:eastAsia="zh-CN"/>
              </w:rPr>
              <w:t>Case#7 MT Tx (to support Case #7 at parent node) and DU Tx/Rx</w:t>
            </w:r>
          </w:p>
          <w:p w14:paraId="329A6416" w14:textId="77777777" w:rsidR="00A8063D" w:rsidRPr="00521A4E" w:rsidRDefault="00A8063D" w:rsidP="007E3B07">
            <w:pPr>
              <w:spacing w:after="240" w:line="240" w:lineRule="auto"/>
              <w:contextualSpacing/>
              <w:jc w:val="both"/>
              <w:rPr>
                <w:rFonts w:cs="Arial"/>
                <w:sz w:val="20"/>
                <w:szCs w:val="20"/>
              </w:rPr>
            </w:pPr>
          </w:p>
        </w:tc>
      </w:tr>
    </w:tbl>
    <w:p w14:paraId="54BA1A48" w14:textId="36453838" w:rsidR="00E86A38" w:rsidRPr="00521A4E" w:rsidRDefault="00E86A38" w:rsidP="00F364B7">
      <w:pPr>
        <w:spacing w:before="240"/>
        <w:jc w:val="both"/>
        <w:rPr>
          <w:rStyle w:val="IvDbodytextChar"/>
          <w:spacing w:val="0"/>
          <w:sz w:val="20"/>
          <w:szCs w:val="20"/>
        </w:rPr>
      </w:pPr>
      <w:r w:rsidRPr="00521A4E">
        <w:rPr>
          <w:rStyle w:val="IvDbodytextChar"/>
          <w:sz w:val="20"/>
          <w:szCs w:val="20"/>
        </w:rPr>
        <w:t xml:space="preserve">The Rel-16 guard symbols between IAB-MT and IAB-DU resources are for the case when both slot </w:t>
      </w:r>
      <w:r w:rsidRPr="00521A4E">
        <w:rPr>
          <w:rStyle w:val="IvDbodytextChar"/>
          <w:i/>
          <w:sz w:val="20"/>
          <w:szCs w:val="20"/>
        </w:rPr>
        <w:t>(k-1)</w:t>
      </w:r>
      <w:r w:rsidRPr="00521A4E">
        <w:rPr>
          <w:rStyle w:val="IvDbodytextChar"/>
          <w:sz w:val="20"/>
          <w:szCs w:val="20"/>
        </w:rPr>
        <w:t xml:space="preserve"> and slot </w:t>
      </w:r>
      <w:r w:rsidRPr="00521A4E">
        <w:rPr>
          <w:rStyle w:val="IvDbodytextChar"/>
          <w:i/>
          <w:sz w:val="20"/>
          <w:szCs w:val="20"/>
        </w:rPr>
        <w:t>k</w:t>
      </w:r>
      <w:r w:rsidRPr="00521A4E">
        <w:rPr>
          <w:rStyle w:val="IvDbodytextChar"/>
          <w:sz w:val="20"/>
          <w:szCs w:val="20"/>
        </w:rPr>
        <w:t xml:space="preserve"> operate in Case #1 timing alignment where IAB-MT and IAB-DU are in TDM mode.</w:t>
      </w:r>
      <w:r w:rsidRPr="00521A4E">
        <w:rPr>
          <w:rFonts w:cs="Arial"/>
          <w:szCs w:val="20"/>
        </w:rPr>
        <w:t xml:space="preserve"> Rel-17 IAB takes simultaneous transmission and </w:t>
      </w:r>
      <w:r w:rsidR="005530B3" w:rsidRPr="00521A4E">
        <w:rPr>
          <w:rFonts w:cs="Arial"/>
          <w:szCs w:val="20"/>
        </w:rPr>
        <w:t xml:space="preserve">simultaneous </w:t>
      </w:r>
      <w:r w:rsidRPr="00521A4E">
        <w:rPr>
          <w:rFonts w:cs="Arial"/>
          <w:szCs w:val="20"/>
        </w:rPr>
        <w:t>reception</w:t>
      </w:r>
      <w:r w:rsidR="005530B3" w:rsidRPr="00521A4E">
        <w:rPr>
          <w:rFonts w:cs="Arial"/>
          <w:szCs w:val="20"/>
        </w:rPr>
        <w:t xml:space="preserve"> of MT/DU</w:t>
      </w:r>
      <w:r w:rsidRPr="00521A4E">
        <w:rPr>
          <w:rFonts w:cs="Arial"/>
          <w:szCs w:val="20"/>
        </w:rPr>
        <w:t xml:space="preserve"> into consideration. As a result, an IAB-node may operate in Case #1, Case #6 or Case #7 timing. When Case #6 timing alignment is used, </w:t>
      </w:r>
      <w:r w:rsidR="005D66FA" w:rsidRPr="00521A4E">
        <w:rPr>
          <w:rFonts w:cs="Arial"/>
          <w:szCs w:val="20"/>
        </w:rPr>
        <w:t xml:space="preserve">the </w:t>
      </w:r>
      <w:r w:rsidRPr="00521A4E">
        <w:rPr>
          <w:rFonts w:cs="Arial"/>
          <w:szCs w:val="20"/>
        </w:rPr>
        <w:t>IAB-MT</w:t>
      </w:r>
      <w:r w:rsidR="005D66FA" w:rsidRPr="00521A4E">
        <w:rPr>
          <w:rFonts w:cs="Arial"/>
          <w:szCs w:val="20"/>
        </w:rPr>
        <w:t>’s</w:t>
      </w:r>
      <w:r w:rsidRPr="00521A4E">
        <w:rPr>
          <w:rFonts w:cs="Arial"/>
          <w:szCs w:val="20"/>
        </w:rPr>
        <w:t xml:space="preserve"> UL Tx timing is </w:t>
      </w:r>
      <w:r w:rsidR="00731090" w:rsidRPr="00521A4E">
        <w:rPr>
          <w:rFonts w:cs="Arial"/>
          <w:szCs w:val="20"/>
        </w:rPr>
        <w:t>delayed</w:t>
      </w:r>
      <w:r w:rsidRPr="00521A4E">
        <w:rPr>
          <w:rFonts w:cs="Arial"/>
          <w:szCs w:val="20"/>
        </w:rPr>
        <w:t xml:space="preserve"> to be aligned with </w:t>
      </w:r>
      <w:r w:rsidR="005D66FA" w:rsidRPr="00521A4E">
        <w:rPr>
          <w:rFonts w:cs="Arial"/>
          <w:szCs w:val="20"/>
        </w:rPr>
        <w:t xml:space="preserve">the </w:t>
      </w:r>
      <w:r w:rsidRPr="00521A4E">
        <w:rPr>
          <w:rFonts w:cs="Arial"/>
          <w:szCs w:val="20"/>
        </w:rPr>
        <w:t>IAB-DU</w:t>
      </w:r>
      <w:r w:rsidR="005D66FA" w:rsidRPr="00521A4E">
        <w:rPr>
          <w:rFonts w:cs="Arial"/>
          <w:szCs w:val="20"/>
        </w:rPr>
        <w:t>’s</w:t>
      </w:r>
      <w:r w:rsidRPr="00521A4E">
        <w:rPr>
          <w:rFonts w:cs="Arial"/>
          <w:szCs w:val="20"/>
        </w:rPr>
        <w:t xml:space="preserve"> DL Tx timing. When Case #7 timing alignment is used, </w:t>
      </w:r>
      <w:r w:rsidR="005D66FA" w:rsidRPr="00521A4E">
        <w:rPr>
          <w:rFonts w:cs="Arial"/>
          <w:szCs w:val="20"/>
        </w:rPr>
        <w:t xml:space="preserve">the </w:t>
      </w:r>
      <w:r w:rsidRPr="00521A4E">
        <w:rPr>
          <w:rFonts w:cs="Arial"/>
          <w:szCs w:val="20"/>
        </w:rPr>
        <w:t>IAB-DU</w:t>
      </w:r>
      <w:r w:rsidR="005D66FA" w:rsidRPr="00521A4E">
        <w:rPr>
          <w:rFonts w:cs="Arial"/>
          <w:szCs w:val="20"/>
        </w:rPr>
        <w:t>’s</w:t>
      </w:r>
      <w:r w:rsidRPr="00521A4E">
        <w:rPr>
          <w:rFonts w:cs="Arial"/>
          <w:szCs w:val="20"/>
        </w:rPr>
        <w:t xml:space="preserve"> UL Rx timing is </w:t>
      </w:r>
      <w:r w:rsidR="005D66FA" w:rsidRPr="00521A4E">
        <w:rPr>
          <w:rFonts w:cs="Arial"/>
          <w:szCs w:val="20"/>
        </w:rPr>
        <w:t>delayed</w:t>
      </w:r>
      <w:r w:rsidRPr="00521A4E">
        <w:rPr>
          <w:rFonts w:cs="Arial"/>
          <w:szCs w:val="20"/>
        </w:rPr>
        <w:t xml:space="preserve"> to be aligned with </w:t>
      </w:r>
      <w:r w:rsidR="005D66FA" w:rsidRPr="00521A4E">
        <w:rPr>
          <w:rFonts w:cs="Arial"/>
          <w:szCs w:val="20"/>
        </w:rPr>
        <w:t xml:space="preserve">the </w:t>
      </w:r>
      <w:r w:rsidR="006329CC" w:rsidRPr="00521A4E">
        <w:rPr>
          <w:rFonts w:cs="Arial"/>
          <w:szCs w:val="20"/>
        </w:rPr>
        <w:t xml:space="preserve">co-located </w:t>
      </w:r>
      <w:r w:rsidRPr="00521A4E">
        <w:rPr>
          <w:rFonts w:cs="Arial"/>
          <w:szCs w:val="20"/>
        </w:rPr>
        <w:t>IAB-MT</w:t>
      </w:r>
      <w:r w:rsidR="005D66FA" w:rsidRPr="00521A4E">
        <w:rPr>
          <w:rFonts w:cs="Arial"/>
          <w:szCs w:val="20"/>
        </w:rPr>
        <w:t>’s</w:t>
      </w:r>
      <w:r w:rsidRPr="00521A4E">
        <w:rPr>
          <w:rFonts w:cs="Arial"/>
          <w:szCs w:val="20"/>
        </w:rPr>
        <w:t xml:space="preserve"> DL Rx timing. Accordingly, some of the desired guard symbols will change comparing to </w:t>
      </w:r>
      <w:r w:rsidR="00A02887" w:rsidRPr="00521A4E">
        <w:rPr>
          <w:rFonts w:cs="Arial"/>
          <w:szCs w:val="20"/>
        </w:rPr>
        <w:t xml:space="preserve">using </w:t>
      </w:r>
      <w:r w:rsidRPr="00521A4E">
        <w:rPr>
          <w:rFonts w:cs="Arial"/>
          <w:szCs w:val="20"/>
        </w:rPr>
        <w:t xml:space="preserve">only Case #1 guard symbols when the alternatives of the timing-alignment combinations in </w:t>
      </w:r>
      <w:r w:rsidRPr="00521A4E">
        <w:rPr>
          <w:rStyle w:val="IvDbodytextChar"/>
          <w:sz w:val="20"/>
          <w:szCs w:val="20"/>
        </w:rPr>
        <w:t xml:space="preserve">slot </w:t>
      </w:r>
      <w:r w:rsidRPr="00521A4E">
        <w:rPr>
          <w:rStyle w:val="IvDbodytextChar"/>
          <w:i/>
          <w:sz w:val="20"/>
          <w:szCs w:val="20"/>
        </w:rPr>
        <w:t>(k-1)</w:t>
      </w:r>
      <w:r w:rsidRPr="00521A4E">
        <w:rPr>
          <w:rStyle w:val="IvDbodytextChar"/>
          <w:sz w:val="20"/>
          <w:szCs w:val="20"/>
        </w:rPr>
        <w:t xml:space="preserve"> and slot </w:t>
      </w:r>
      <w:r w:rsidRPr="00521A4E">
        <w:rPr>
          <w:rStyle w:val="IvDbodytextChar"/>
          <w:i/>
          <w:sz w:val="20"/>
          <w:szCs w:val="20"/>
        </w:rPr>
        <w:t>k</w:t>
      </w:r>
      <w:r w:rsidRPr="00521A4E">
        <w:rPr>
          <w:rStyle w:val="IvDbodytextChar"/>
          <w:sz w:val="20"/>
          <w:szCs w:val="20"/>
        </w:rPr>
        <w:t xml:space="preserve"> are:</w:t>
      </w:r>
    </w:p>
    <w:p w14:paraId="028F1AB8"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#1 and Case #6;</w:t>
      </w:r>
    </w:p>
    <w:p w14:paraId="4700C129"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#1 and Case #7;</w:t>
      </w:r>
    </w:p>
    <w:p w14:paraId="02FF2435"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#6 and Case #1;</w:t>
      </w:r>
    </w:p>
    <w:p w14:paraId="111CB55C"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#7 and Case #1;</w:t>
      </w:r>
    </w:p>
    <w:p w14:paraId="1566556E"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#6 and Case #7;</w:t>
      </w:r>
    </w:p>
    <w:p w14:paraId="11E820A0"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#7 and Case #6;</w:t>
      </w:r>
    </w:p>
    <w:p w14:paraId="11384E6E" w14:textId="77777777" w:rsidR="00E86A38" w:rsidRPr="00521A4E" w:rsidRDefault="00E86A38" w:rsidP="007E3B0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 xml:space="preserve">Case #6 and Case #6; and </w:t>
      </w:r>
    </w:p>
    <w:p w14:paraId="2B525858" w14:textId="3AEAC6CB" w:rsidR="005C360F" w:rsidRPr="00F364B7" w:rsidRDefault="00E86A38" w:rsidP="00F364B7">
      <w:pPr>
        <w:pStyle w:val="BodyText"/>
        <w:keepLines/>
        <w:numPr>
          <w:ilvl w:val="0"/>
          <w:numId w:val="15"/>
        </w:numPr>
        <w:tabs>
          <w:tab w:val="left" w:pos="2552"/>
          <w:tab w:val="left" w:pos="3856"/>
          <w:tab w:val="left" w:pos="5216"/>
          <w:tab w:val="left" w:pos="6464"/>
          <w:tab w:val="left" w:pos="7768"/>
          <w:tab w:val="left" w:pos="9072"/>
          <w:tab w:val="left" w:pos="9639"/>
        </w:tabs>
        <w:spacing w:after="160"/>
        <w:rPr>
          <w:rFonts w:cs="Arial"/>
          <w:szCs w:val="20"/>
        </w:rPr>
      </w:pPr>
      <w:r w:rsidRPr="00521A4E">
        <w:rPr>
          <w:rFonts w:cs="Arial"/>
          <w:szCs w:val="20"/>
        </w:rPr>
        <w:t>Case #7 and Case #7.</w:t>
      </w:r>
    </w:p>
    <w:p w14:paraId="4F1BEA68" w14:textId="16B8CFAB" w:rsidR="00667D12" w:rsidRPr="00521A4E" w:rsidRDefault="00E86A38" w:rsidP="007E3B07">
      <w:pPr>
        <w:pStyle w:val="BodyText"/>
        <w:keepLines/>
        <w:tabs>
          <w:tab w:val="left" w:pos="2552"/>
          <w:tab w:val="left" w:pos="3856"/>
          <w:tab w:val="left" w:pos="5216"/>
          <w:tab w:val="left" w:pos="6464"/>
          <w:tab w:val="left" w:pos="7768"/>
          <w:tab w:val="left" w:pos="9072"/>
          <w:tab w:val="left" w:pos="9639"/>
        </w:tabs>
        <w:rPr>
          <w:rFonts w:cs="Arial"/>
          <w:szCs w:val="20"/>
        </w:rPr>
      </w:pPr>
      <w:r w:rsidRPr="00521A4E">
        <w:rPr>
          <w:rFonts w:cs="Arial"/>
          <w:szCs w:val="20"/>
        </w:rPr>
        <w:lastRenderedPageBreak/>
        <w:t xml:space="preserve">Consider that a Rel-17 IAB-node may need to frequently switch among Case #1, Case #6 and Case #7 timing. It is not efficient from a </w:t>
      </w:r>
      <w:r w:rsidR="0002290C" w:rsidRPr="00521A4E">
        <w:rPr>
          <w:rFonts w:cs="Arial"/>
          <w:szCs w:val="20"/>
        </w:rPr>
        <w:t>signal</w:t>
      </w:r>
      <w:r w:rsidRPr="00521A4E">
        <w:rPr>
          <w:rFonts w:cs="Arial"/>
          <w:szCs w:val="20"/>
        </w:rPr>
        <w:t xml:space="preserve">ing overhead perspective for an IAB-node and its parent node to exchange information of guard symbols every time the timing case switches. The reason is that guard symbols for each timing case is predictable and relatively static. An IAB-node can instead send groups of Desired Guard Symbols to a parent node regarding different timing-case switching as listed above. Correspondingly, the parent node sends groups of Provided Guard Symbols to the IAB-node. When the IAB-node changes its operation mode and thereby uses a different timing-alignment case, both IAB-node and parent node can switch fast without extra </w:t>
      </w:r>
      <w:r w:rsidR="0002290C" w:rsidRPr="00521A4E">
        <w:rPr>
          <w:rFonts w:cs="Arial"/>
          <w:szCs w:val="20"/>
        </w:rPr>
        <w:t>signal</w:t>
      </w:r>
      <w:r w:rsidRPr="00521A4E">
        <w:rPr>
          <w:rFonts w:cs="Arial"/>
          <w:szCs w:val="20"/>
        </w:rPr>
        <w:t xml:space="preserve">ing exchange to </w:t>
      </w:r>
      <w:r w:rsidR="00745320" w:rsidRPr="00521A4E">
        <w:rPr>
          <w:rFonts w:cs="Arial"/>
          <w:szCs w:val="20"/>
        </w:rPr>
        <w:t>inform about</w:t>
      </w:r>
      <w:r w:rsidRPr="00521A4E">
        <w:rPr>
          <w:rFonts w:cs="Arial"/>
          <w:szCs w:val="20"/>
        </w:rPr>
        <w:t xml:space="preserve"> the corresponding </w:t>
      </w:r>
      <w:r w:rsidR="002607BC" w:rsidRPr="00521A4E">
        <w:rPr>
          <w:rFonts w:cs="Arial"/>
          <w:szCs w:val="20"/>
        </w:rPr>
        <w:t>Desired/Provided</w:t>
      </w:r>
      <w:r w:rsidRPr="00521A4E">
        <w:rPr>
          <w:rFonts w:cs="Arial"/>
          <w:szCs w:val="20"/>
        </w:rPr>
        <w:t xml:space="preserve"> guard symbols</w:t>
      </w:r>
      <w:r w:rsidR="002607BC" w:rsidRPr="00521A4E">
        <w:rPr>
          <w:rFonts w:cs="Arial"/>
          <w:szCs w:val="20"/>
        </w:rPr>
        <w:t xml:space="preserve"> to </w:t>
      </w:r>
      <w:r w:rsidR="00745320" w:rsidRPr="00521A4E">
        <w:rPr>
          <w:rFonts w:cs="Arial"/>
          <w:szCs w:val="20"/>
        </w:rPr>
        <w:t>use</w:t>
      </w:r>
      <w:r w:rsidR="00C015CA" w:rsidRPr="00521A4E">
        <w:rPr>
          <w:rFonts w:cs="Arial"/>
          <w:szCs w:val="20"/>
        </w:rPr>
        <w:t>.</w:t>
      </w:r>
      <w:r w:rsidR="002607BC" w:rsidRPr="00521A4E">
        <w:rPr>
          <w:rFonts w:cs="Arial"/>
          <w:szCs w:val="20"/>
        </w:rPr>
        <w:t xml:space="preserve"> </w:t>
      </w:r>
      <w:r w:rsidR="00667D12" w:rsidRPr="00521A4E">
        <w:rPr>
          <w:rFonts w:cs="Arial"/>
          <w:szCs w:val="20"/>
        </w:rPr>
        <w:t xml:space="preserve">In RAN1#106bis-e only the following switching scenarios are considered </w:t>
      </w:r>
      <w:r w:rsidR="005E77C1" w:rsidRPr="00521A4E">
        <w:rPr>
          <w:rFonts w:cs="Arial"/>
          <w:szCs w:val="20"/>
        </w:rPr>
        <w:t>for</w:t>
      </w:r>
      <w:r w:rsidR="00667D12" w:rsidRPr="00521A4E">
        <w:rPr>
          <w:rFonts w:cs="Arial"/>
          <w:szCs w:val="20"/>
        </w:rPr>
        <w:t xml:space="preserve"> </w:t>
      </w:r>
      <w:r w:rsidR="005E77C1" w:rsidRPr="00521A4E">
        <w:rPr>
          <w:rFonts w:cs="Arial"/>
          <w:szCs w:val="20"/>
        </w:rPr>
        <w:t xml:space="preserve">guard </w:t>
      </w:r>
      <w:r w:rsidR="00667D12" w:rsidRPr="00521A4E">
        <w:rPr>
          <w:rFonts w:cs="Arial"/>
          <w:szCs w:val="20"/>
        </w:rPr>
        <w:t>enhancement</w:t>
      </w:r>
      <w:r w:rsidR="005E77C1" w:rsidRPr="00521A4E">
        <w:rPr>
          <w:rFonts w:cs="Arial"/>
          <w:szCs w:val="20"/>
        </w:rPr>
        <w:t>s</w:t>
      </w:r>
      <w:r w:rsidR="00667D12" w:rsidRPr="00521A4E">
        <w:rPr>
          <w:rFonts w:cs="Arial"/>
          <w:szCs w:val="20"/>
        </w:rPr>
        <w:t xml:space="preserve"> in Rel-17 eIAB:</w:t>
      </w:r>
    </w:p>
    <w:p w14:paraId="7CFC6CE5" w14:textId="77777777" w:rsidR="00667D12" w:rsidRPr="00521A4E" w:rsidRDefault="00667D12" w:rsidP="00F364B7">
      <w:pPr>
        <w:numPr>
          <w:ilvl w:val="0"/>
          <w:numId w:val="23"/>
        </w:numPr>
        <w:spacing w:after="100" w:afterAutospacing="1" w:line="240" w:lineRule="auto"/>
        <w:jc w:val="both"/>
        <w:rPr>
          <w:rFonts w:ascii="SimSun" w:eastAsia="SimSun" w:hAnsi="SimSun"/>
          <w:b/>
          <w:bCs/>
          <w:szCs w:val="20"/>
        </w:rPr>
      </w:pPr>
      <w:r w:rsidRPr="00521A4E">
        <w:rPr>
          <w:rStyle w:val="Strong"/>
          <w:rFonts w:eastAsia="Times New Roman"/>
          <w:b w:val="0"/>
          <w:bCs w:val="0"/>
          <w:szCs w:val="20"/>
        </w:rPr>
        <w:t>Case#6 MT Tx and [Case #7] DU [Tx]/Rx</w:t>
      </w:r>
    </w:p>
    <w:p w14:paraId="153916AE" w14:textId="1B2F8F5C" w:rsidR="00667D12" w:rsidRPr="00F364B7" w:rsidRDefault="00667D12" w:rsidP="00F364B7">
      <w:pPr>
        <w:numPr>
          <w:ilvl w:val="0"/>
          <w:numId w:val="23"/>
        </w:numPr>
        <w:spacing w:before="100" w:beforeAutospacing="1" w:after="100" w:afterAutospacing="1" w:line="240" w:lineRule="auto"/>
        <w:jc w:val="both"/>
        <w:rPr>
          <w:rFonts w:cs="Arial"/>
          <w:szCs w:val="20"/>
        </w:rPr>
      </w:pPr>
      <w:r w:rsidRPr="00521A4E">
        <w:rPr>
          <w:rStyle w:val="Strong"/>
          <w:rFonts w:eastAsia="Times New Roman"/>
          <w:b w:val="0"/>
          <w:bCs w:val="0"/>
          <w:szCs w:val="20"/>
        </w:rPr>
        <w:t xml:space="preserve">Case#7 MT Tx (to support Case #7 at parent node) and DU </w:t>
      </w:r>
      <w:r w:rsidRPr="00521A4E">
        <w:rPr>
          <w:rStyle w:val="Strong"/>
          <w:rFonts w:eastAsia="Times New Roman"/>
          <w:b w:val="0"/>
          <w:bCs w:val="0"/>
          <w:color w:val="000000"/>
          <w:szCs w:val="20"/>
        </w:rPr>
        <w:t>Tx/</w:t>
      </w:r>
      <w:r w:rsidRPr="00521A4E">
        <w:rPr>
          <w:rStyle w:val="Strong"/>
          <w:rFonts w:eastAsia="Times New Roman"/>
          <w:b w:val="0"/>
          <w:bCs w:val="0"/>
          <w:szCs w:val="20"/>
        </w:rPr>
        <w:t>Rx</w:t>
      </w:r>
    </w:p>
    <w:p w14:paraId="0F95D932" w14:textId="77777777" w:rsidR="00D23B3E" w:rsidRPr="00521A4E" w:rsidRDefault="00667D12" w:rsidP="007E3B07">
      <w:pPr>
        <w:jc w:val="both"/>
      </w:pPr>
      <w:r w:rsidRPr="00521A4E">
        <w:t>There are also proposals to further reduce the switching scenarios b</w:t>
      </w:r>
      <w:r w:rsidR="008F0F7B" w:rsidRPr="00521A4E">
        <w:t xml:space="preserve">y exploiting the </w:t>
      </w:r>
      <w:r w:rsidRPr="00521A4E">
        <w:t xml:space="preserve">parameters from OTA based timing. It should be noted that OTA based timing was not meant for such purpose. If OTA-based method is not used in some timing cases, the related parameters will not be available to estimate the Desired/Provided guards symbols. In addition, the Provided Guard Symbols, not necessary equals to the Desired Guard Symbols, gives the parent-node flexibility to adjust the guard symbols based on its own needs. Even though in some </w:t>
      </w:r>
      <w:r w:rsidR="00765474" w:rsidRPr="00521A4E">
        <w:t>scenarios</w:t>
      </w:r>
      <w:r w:rsidRPr="00521A4E">
        <w:t xml:space="preserve"> it is possible to estimate the Desired Guard Symbols, in a general way, the Provided Guard Symbols should still be indicated by the parent-node. Finally, the switching scenarios from Case #1 to Case #6/Case #7, and from Case #6/Case #7 to Case #1 are equally relevant as the switching scenarios between Case #6 and Case #7.</w:t>
      </w:r>
    </w:p>
    <w:p w14:paraId="4C0084F1" w14:textId="31D91A3D" w:rsidR="00DA4676" w:rsidRPr="00521A4E" w:rsidRDefault="00D23B3E" w:rsidP="007E3B07">
      <w:pPr>
        <w:jc w:val="both"/>
      </w:pPr>
      <w:r w:rsidRPr="00521A4E">
        <w:fldChar w:fldCharType="begin"/>
      </w:r>
      <w:r w:rsidRPr="00521A4E">
        <w:instrText xml:space="preserve"> REF _Ref86611901 \h </w:instrText>
      </w:r>
      <w:r w:rsidR="007E3B07" w:rsidRPr="00521A4E">
        <w:instrText xml:space="preserve"> \* MERGEFORMAT </w:instrText>
      </w:r>
      <w:r w:rsidRPr="00521A4E">
        <w:fldChar w:fldCharType="separate"/>
      </w:r>
      <w:r w:rsidR="00F201E9" w:rsidRPr="00521A4E">
        <w:t xml:space="preserve">Figure </w:t>
      </w:r>
      <w:r w:rsidR="00F201E9">
        <w:rPr>
          <w:noProof/>
        </w:rPr>
        <w:t>6</w:t>
      </w:r>
      <w:r w:rsidRPr="00521A4E">
        <w:fldChar w:fldCharType="end"/>
      </w:r>
      <w:r w:rsidRPr="00521A4E">
        <w:t xml:space="preserve"> sh</w:t>
      </w:r>
      <w:r w:rsidR="00667D12" w:rsidRPr="00521A4E">
        <w:t xml:space="preserve">ows an analysis of Guard symbols for different switching combinations among Case #1, Case #6 and Case #7 timing modes. </w:t>
      </w:r>
      <w:r w:rsidR="00667D12" w:rsidRPr="00521A4E">
        <w:fldChar w:fldCharType="begin"/>
      </w:r>
      <w:r w:rsidR="00667D12" w:rsidRPr="00521A4E">
        <w:instrText xml:space="preserve"> REF _Ref86611901 \h </w:instrText>
      </w:r>
      <w:r w:rsidR="007E3B07" w:rsidRPr="00521A4E">
        <w:instrText xml:space="preserve"> \* MERGEFORMAT </w:instrText>
      </w:r>
      <w:r w:rsidR="00667D12" w:rsidRPr="00521A4E">
        <w:fldChar w:fldCharType="separate"/>
      </w:r>
      <w:r w:rsidR="00F201E9" w:rsidRPr="00521A4E">
        <w:t xml:space="preserve">Figure </w:t>
      </w:r>
      <w:r w:rsidR="00F201E9">
        <w:rPr>
          <w:noProof/>
        </w:rPr>
        <w:t>6</w:t>
      </w:r>
      <w:r w:rsidR="00667D12" w:rsidRPr="00521A4E">
        <w:fldChar w:fldCharType="end"/>
      </w:r>
      <w:r w:rsidR="00667D12" w:rsidRPr="00521A4E">
        <w:t xml:space="preserve">a) lists the 8 switching scenarios considered in Rel-16 IAB guard symbol provisioning for the TDM case. In </w:t>
      </w:r>
      <w:r w:rsidR="00667D12" w:rsidRPr="00521A4E">
        <w:fldChar w:fldCharType="begin"/>
      </w:r>
      <w:r w:rsidR="00667D12" w:rsidRPr="00521A4E">
        <w:instrText xml:space="preserve"> REF _Ref86611901 \h </w:instrText>
      </w:r>
      <w:r w:rsidR="007E3B07" w:rsidRPr="00521A4E">
        <w:instrText xml:space="preserve"> \* MERGEFORMAT </w:instrText>
      </w:r>
      <w:r w:rsidR="00667D12" w:rsidRPr="00521A4E">
        <w:fldChar w:fldCharType="separate"/>
      </w:r>
      <w:r w:rsidR="00F201E9" w:rsidRPr="00521A4E">
        <w:t xml:space="preserve">Figure </w:t>
      </w:r>
      <w:r w:rsidR="00F201E9">
        <w:rPr>
          <w:noProof/>
        </w:rPr>
        <w:t>6</w:t>
      </w:r>
      <w:r w:rsidR="00667D12" w:rsidRPr="00521A4E">
        <w:fldChar w:fldCharType="end"/>
      </w:r>
      <w:r w:rsidR="00667D12" w:rsidRPr="00521A4E">
        <w:t xml:space="preserve">b), the grey marked switching scenarios, between IAB-MT and IAB-DU operations, may need a different number of guard symbols compared to the Rel-16 TDM case. As further depicted in </w:t>
      </w:r>
      <w:r w:rsidR="00667D12" w:rsidRPr="00521A4E">
        <w:fldChar w:fldCharType="begin"/>
      </w:r>
      <w:r w:rsidR="00667D12" w:rsidRPr="00521A4E">
        <w:instrText xml:space="preserve"> REF _Ref86611901 \h </w:instrText>
      </w:r>
      <w:r w:rsidR="007E3B07" w:rsidRPr="00521A4E">
        <w:instrText xml:space="preserve"> \* MERGEFORMAT </w:instrText>
      </w:r>
      <w:r w:rsidR="00667D12" w:rsidRPr="00521A4E">
        <w:fldChar w:fldCharType="separate"/>
      </w:r>
      <w:r w:rsidR="00F201E9" w:rsidRPr="00521A4E">
        <w:t xml:space="preserve">Figure </w:t>
      </w:r>
      <w:r w:rsidR="00F201E9">
        <w:rPr>
          <w:noProof/>
        </w:rPr>
        <w:t>6</w:t>
      </w:r>
      <w:r w:rsidR="00667D12" w:rsidRPr="00521A4E">
        <w:fldChar w:fldCharType="end"/>
      </w:r>
      <w:r w:rsidR="00667D12" w:rsidRPr="00521A4E">
        <w:t xml:space="preserve">c), among the grey marked scenarios, </w:t>
      </w:r>
      <w:r w:rsidR="008F0F7B" w:rsidRPr="00521A4E">
        <w:t>the scenarios</w:t>
      </w:r>
      <w:r w:rsidR="00667D12" w:rsidRPr="00521A4E">
        <w:t xml:space="preserve"> marked with a </w:t>
      </w:r>
      <w:r w:rsidR="008F0F7B" w:rsidRPr="00521A4E">
        <w:t>blue circle</w:t>
      </w:r>
      <w:r w:rsidR="00667D12" w:rsidRPr="00521A4E">
        <w:t xml:space="preserve">, </w:t>
      </w:r>
      <w:r w:rsidR="008F0F7B" w:rsidRPr="00521A4E">
        <w:t>may need guard symbols between the IAB-node and parent-node operations; the scenarios marked with a green circle may need guard symbols between the IAB-node and child-node operations</w:t>
      </w:r>
      <w:r w:rsidR="000062F3" w:rsidRPr="00521A4E">
        <w:t>, depends on the child-node’s operation in the previous slot</w:t>
      </w:r>
      <w:r w:rsidRPr="00521A4E">
        <w:t xml:space="preserve"> (when the IAB-node switches to Case #7 timing)</w:t>
      </w:r>
      <w:r w:rsidR="0016250F" w:rsidRPr="00521A4E">
        <w:t>,</w:t>
      </w:r>
      <w:r w:rsidR="000062F3" w:rsidRPr="00521A4E">
        <w:t xml:space="preserve"> or the next slot</w:t>
      </w:r>
      <w:r w:rsidRPr="00521A4E">
        <w:t xml:space="preserve"> (when the IAB-node switches from Case #7 timing)</w:t>
      </w:r>
      <w:r w:rsidR="008F0F7B" w:rsidRPr="00521A4E">
        <w:t>.</w:t>
      </w:r>
    </w:p>
    <w:p w14:paraId="78382EB0" w14:textId="6F3FAE82" w:rsidR="00667D12" w:rsidRPr="00521A4E" w:rsidRDefault="00667D12" w:rsidP="00F364B7">
      <w:pPr>
        <w:pStyle w:val="Proposal"/>
        <w:tabs>
          <w:tab w:val="clear" w:pos="1872"/>
        </w:tabs>
        <w:ind w:left="1304"/>
        <w:rPr>
          <w:lang w:eastAsia="ja-JP"/>
        </w:rPr>
      </w:pPr>
      <w:bookmarkStart w:id="164" w:name="_Toc87042263"/>
      <w:r w:rsidRPr="00521A4E">
        <w:rPr>
          <w:lang w:eastAsia="ja-JP"/>
        </w:rPr>
        <w:t xml:space="preserve">Desired/Provided Guard Symbols are signaled to cover all relevant switching combinations among Case #1, Case #6 and Case #7 timing alignments in </w:t>
      </w:r>
      <w:r w:rsidRPr="00521A4E">
        <w:rPr>
          <w:lang w:eastAsia="ja-JP"/>
        </w:rPr>
        <w:fldChar w:fldCharType="begin"/>
      </w:r>
      <w:r w:rsidRPr="00521A4E">
        <w:rPr>
          <w:lang w:eastAsia="ja-JP"/>
        </w:rPr>
        <w:instrText xml:space="preserve"> REF _Ref86611901 \h </w:instrText>
      </w:r>
      <w:r w:rsidRPr="00521A4E">
        <w:rPr>
          <w:lang w:eastAsia="ja-JP"/>
        </w:rPr>
      </w:r>
      <w:r w:rsidR="007E3B07" w:rsidRPr="00521A4E">
        <w:rPr>
          <w:lang w:eastAsia="ja-JP"/>
        </w:rPr>
        <w:instrText xml:space="preserve"> \* MERGEFORMAT </w:instrText>
      </w:r>
      <w:r w:rsidRPr="00521A4E">
        <w:rPr>
          <w:lang w:eastAsia="ja-JP"/>
        </w:rPr>
        <w:fldChar w:fldCharType="separate"/>
      </w:r>
      <w:r w:rsidR="00F201E9" w:rsidRPr="00521A4E">
        <w:t xml:space="preserve">Figure </w:t>
      </w:r>
      <w:r w:rsidR="00F201E9">
        <w:rPr>
          <w:noProof/>
        </w:rPr>
        <w:t>6</w:t>
      </w:r>
      <w:r w:rsidRPr="00521A4E">
        <w:rPr>
          <w:lang w:eastAsia="ja-JP"/>
        </w:rPr>
        <w:fldChar w:fldCharType="end"/>
      </w:r>
      <w:r w:rsidRPr="00521A4E">
        <w:rPr>
          <w:lang w:eastAsia="ja-JP"/>
        </w:rPr>
        <w:t>c)</w:t>
      </w:r>
      <w:r w:rsidR="008F0F7B" w:rsidRPr="00521A4E">
        <w:rPr>
          <w:lang w:eastAsia="ja-JP"/>
        </w:rPr>
        <w:t>:</w:t>
      </w:r>
      <w:r w:rsidR="00DA4676" w:rsidRPr="00521A4E">
        <w:rPr>
          <w:lang w:eastAsia="ja-JP"/>
        </w:rPr>
        <w:br/>
      </w:r>
      <w:r w:rsidR="00DA4676" w:rsidRPr="00521A4E">
        <w:rPr>
          <w:lang w:eastAsia="ja-JP"/>
        </w:rPr>
        <w:br/>
        <w:t xml:space="preserve">Guard symbols may be needed </w:t>
      </w:r>
      <w:r w:rsidR="00B8194E" w:rsidRPr="00521A4E">
        <w:rPr>
          <w:lang w:eastAsia="ja-JP"/>
        </w:rPr>
        <w:t>when the</w:t>
      </w:r>
      <w:r w:rsidR="00DA4676" w:rsidRPr="00521A4E">
        <w:rPr>
          <w:lang w:eastAsia="ja-JP"/>
        </w:rPr>
        <w:t xml:space="preserve"> IAB-node </w:t>
      </w:r>
      <w:r w:rsidR="00B8194E" w:rsidRPr="00521A4E">
        <w:rPr>
          <w:lang w:eastAsia="ja-JP"/>
        </w:rPr>
        <w:t>transitions</w:t>
      </w:r>
      <w:r w:rsidR="00DA4676" w:rsidRPr="00521A4E">
        <w:rPr>
          <w:lang w:eastAsia="ja-JP"/>
        </w:rPr>
        <w:t>:</w:t>
      </w:r>
      <w:bookmarkEnd w:id="164"/>
    </w:p>
    <w:p w14:paraId="6473EEA8" w14:textId="5F6A9912" w:rsidR="008F0F7B" w:rsidRPr="00521A4E" w:rsidRDefault="008F0F7B" w:rsidP="007E3B07">
      <w:pPr>
        <w:pStyle w:val="Proposal"/>
        <w:numPr>
          <w:ilvl w:val="0"/>
          <w:numId w:val="37"/>
        </w:numPr>
        <w:ind w:left="2018" w:hanging="357"/>
        <w:rPr>
          <w:lang w:eastAsia="ja-JP"/>
        </w:rPr>
      </w:pPr>
      <w:bookmarkStart w:id="165" w:name="_Toc87042264"/>
      <w:r w:rsidRPr="00521A4E">
        <w:rPr>
          <w:lang w:eastAsia="ja-JP"/>
        </w:rPr>
        <w:t>Case #6 MT UL TX -&gt; Case #1 DU UL RX</w:t>
      </w:r>
      <w:bookmarkEnd w:id="165"/>
    </w:p>
    <w:p w14:paraId="177F21FB" w14:textId="2E92020C" w:rsidR="008F0F7B" w:rsidRPr="00521A4E" w:rsidRDefault="008F0F7B" w:rsidP="007E3B07">
      <w:pPr>
        <w:pStyle w:val="Proposal"/>
        <w:numPr>
          <w:ilvl w:val="0"/>
          <w:numId w:val="37"/>
        </w:numPr>
        <w:ind w:left="2018" w:hanging="357"/>
        <w:rPr>
          <w:lang w:eastAsia="ja-JP"/>
        </w:rPr>
      </w:pPr>
      <w:bookmarkStart w:id="166" w:name="_Toc87042265"/>
      <w:r w:rsidRPr="00521A4E">
        <w:rPr>
          <w:lang w:eastAsia="ja-JP"/>
        </w:rPr>
        <w:t>Case #6 MT UL TX -&gt; Case #7 DU UL RX</w:t>
      </w:r>
      <w:bookmarkEnd w:id="166"/>
    </w:p>
    <w:p w14:paraId="1F77695E" w14:textId="39D8E501" w:rsidR="009B5258" w:rsidRPr="00521A4E" w:rsidRDefault="008F0F7B" w:rsidP="00F364B7">
      <w:pPr>
        <w:pStyle w:val="Proposal"/>
        <w:numPr>
          <w:ilvl w:val="0"/>
          <w:numId w:val="37"/>
        </w:numPr>
        <w:ind w:left="2018" w:hanging="357"/>
        <w:rPr>
          <w:rFonts w:cs="Arial"/>
          <w:szCs w:val="20"/>
        </w:rPr>
      </w:pPr>
      <w:bookmarkStart w:id="167" w:name="_Toc87042266"/>
      <w:r w:rsidRPr="00521A4E">
        <w:rPr>
          <w:lang w:eastAsia="ja-JP"/>
        </w:rPr>
        <w:t>Case #7 DU UL RX -&gt; Case #6 MT UL TX</w:t>
      </w:r>
      <w:bookmarkStart w:id="168" w:name="_Toc87034865"/>
      <w:bookmarkStart w:id="169" w:name="_Toc87035331"/>
      <w:bookmarkStart w:id="170" w:name="_Toc87034866"/>
      <w:bookmarkStart w:id="171" w:name="_Toc87035332"/>
      <w:bookmarkStart w:id="172" w:name="_Toc87034867"/>
      <w:bookmarkStart w:id="173" w:name="_Toc87035333"/>
      <w:bookmarkStart w:id="174" w:name="_Toc87034868"/>
      <w:bookmarkStart w:id="175" w:name="_Toc87035334"/>
      <w:bookmarkStart w:id="176" w:name="_Toc87034869"/>
      <w:bookmarkStart w:id="177" w:name="_Toc87035335"/>
      <w:bookmarkStart w:id="178" w:name="_Toc87034870"/>
      <w:bookmarkStart w:id="179" w:name="_Toc87035336"/>
      <w:bookmarkStart w:id="180" w:name="_Toc87034871"/>
      <w:bookmarkStart w:id="181" w:name="_Toc87035337"/>
      <w:bookmarkStart w:id="182" w:name="_Toc87034872"/>
      <w:bookmarkStart w:id="183" w:name="_Toc87035338"/>
      <w:bookmarkStart w:id="184" w:name="_Toc87034873"/>
      <w:bookmarkStart w:id="185" w:name="_Toc87035339"/>
      <w:bookmarkStart w:id="186" w:name="_Toc87034874"/>
      <w:bookmarkStart w:id="187" w:name="_Toc87035340"/>
      <w:bookmarkStart w:id="188" w:name="_Toc87034875"/>
      <w:bookmarkStart w:id="189" w:name="_Toc87035341"/>
      <w:bookmarkStart w:id="190" w:name="_Toc87034876"/>
      <w:bookmarkStart w:id="191" w:name="_Toc87035342"/>
      <w:bookmarkStart w:id="192" w:name="_Toc87034877"/>
      <w:bookmarkStart w:id="193" w:name="_Toc87035343"/>
      <w:bookmarkStart w:id="194" w:name="_Toc87034878"/>
      <w:bookmarkStart w:id="195" w:name="_Toc87035344"/>
      <w:bookmarkStart w:id="196" w:name="_Toc87034879"/>
      <w:bookmarkStart w:id="197" w:name="_Toc87035345"/>
      <w:bookmarkStart w:id="198" w:name="_Toc87034880"/>
      <w:bookmarkStart w:id="199" w:name="_Toc87035346"/>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167"/>
    </w:p>
    <w:p w14:paraId="7B1C81D6" w14:textId="4C5EAD3A" w:rsidR="00E86A38" w:rsidRPr="00521A4E" w:rsidRDefault="004E7728" w:rsidP="007E3B07">
      <w:pPr>
        <w:pStyle w:val="BodyText"/>
        <w:keepNext/>
        <w:keepLines/>
        <w:tabs>
          <w:tab w:val="left" w:pos="2552"/>
          <w:tab w:val="left" w:pos="3856"/>
          <w:tab w:val="left" w:pos="5216"/>
          <w:tab w:val="left" w:pos="6464"/>
          <w:tab w:val="left" w:pos="7768"/>
          <w:tab w:val="left" w:pos="9072"/>
          <w:tab w:val="left" w:pos="9639"/>
        </w:tabs>
        <w:spacing w:before="240"/>
        <w:jc w:val="center"/>
      </w:pPr>
      <w:r w:rsidRPr="00521A4E">
        <w:rPr>
          <w:noProof/>
        </w:rPr>
        <w:lastRenderedPageBreak/>
        <w:drawing>
          <wp:inline distT="0" distB="0" distL="0" distR="0" wp14:anchorId="6B5A64A6" wp14:editId="18CC24BE">
            <wp:extent cx="1717200" cy="1468800"/>
            <wp:effectExtent l="0" t="0" r="0" b="0"/>
            <wp:docPr id="10" name="Picture 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1717200" cy="1468800"/>
                    </a:xfrm>
                    <a:prstGeom prst="rect">
                      <a:avLst/>
                    </a:prstGeom>
                  </pic:spPr>
                </pic:pic>
              </a:graphicData>
            </a:graphic>
          </wp:inline>
        </w:drawing>
      </w:r>
    </w:p>
    <w:p w14:paraId="135649DB" w14:textId="78E0B59B" w:rsidR="003E4407" w:rsidRPr="00521A4E" w:rsidRDefault="00976D3D" w:rsidP="007E3B07">
      <w:pPr>
        <w:pStyle w:val="BodyText"/>
        <w:keepNext/>
        <w:keepLines/>
        <w:tabs>
          <w:tab w:val="left" w:pos="2552"/>
          <w:tab w:val="left" w:pos="3856"/>
          <w:tab w:val="left" w:pos="5216"/>
          <w:tab w:val="left" w:pos="6464"/>
          <w:tab w:val="left" w:pos="7768"/>
          <w:tab w:val="left" w:pos="9072"/>
          <w:tab w:val="left" w:pos="9639"/>
        </w:tabs>
        <w:spacing w:before="240"/>
        <w:jc w:val="center"/>
      </w:pPr>
      <w:r w:rsidRPr="00521A4E">
        <w:t>6</w:t>
      </w:r>
      <w:r w:rsidR="004E7728" w:rsidRPr="00521A4E">
        <w:t>a</w:t>
      </w:r>
      <w:r w:rsidR="00FE72B5" w:rsidRPr="00521A4E">
        <w:t>)</w:t>
      </w:r>
    </w:p>
    <w:p w14:paraId="722DE784" w14:textId="66233CF2" w:rsidR="004E7728" w:rsidRPr="00521A4E" w:rsidRDefault="004E7728" w:rsidP="007E3B07">
      <w:pPr>
        <w:pStyle w:val="BodyText"/>
        <w:keepNext/>
        <w:keepLines/>
        <w:tabs>
          <w:tab w:val="left" w:pos="2552"/>
          <w:tab w:val="left" w:pos="3856"/>
          <w:tab w:val="left" w:pos="5216"/>
          <w:tab w:val="left" w:pos="6464"/>
          <w:tab w:val="left" w:pos="7768"/>
          <w:tab w:val="left" w:pos="9072"/>
          <w:tab w:val="left" w:pos="9639"/>
        </w:tabs>
        <w:spacing w:before="240"/>
        <w:jc w:val="center"/>
      </w:pPr>
      <w:r w:rsidRPr="00521A4E">
        <w:rPr>
          <w:noProof/>
        </w:rPr>
        <w:drawing>
          <wp:inline distT="0" distB="0" distL="0" distR="0" wp14:anchorId="70E5F2D1" wp14:editId="641F320B">
            <wp:extent cx="6123600" cy="1645200"/>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3600" cy="1645200"/>
                    </a:xfrm>
                    <a:prstGeom prst="rect">
                      <a:avLst/>
                    </a:prstGeom>
                  </pic:spPr>
                </pic:pic>
              </a:graphicData>
            </a:graphic>
          </wp:inline>
        </w:drawing>
      </w:r>
    </w:p>
    <w:p w14:paraId="37C10DC4" w14:textId="1E601C3A" w:rsidR="004E7728" w:rsidRPr="00521A4E" w:rsidRDefault="00976D3D" w:rsidP="007E3B07">
      <w:pPr>
        <w:pStyle w:val="BodyText"/>
        <w:keepNext/>
        <w:keepLines/>
        <w:tabs>
          <w:tab w:val="left" w:pos="2552"/>
          <w:tab w:val="left" w:pos="3856"/>
          <w:tab w:val="left" w:pos="5216"/>
          <w:tab w:val="left" w:pos="6464"/>
          <w:tab w:val="left" w:pos="7768"/>
          <w:tab w:val="left" w:pos="9072"/>
          <w:tab w:val="left" w:pos="9639"/>
        </w:tabs>
        <w:spacing w:before="240"/>
        <w:jc w:val="center"/>
      </w:pPr>
      <w:r w:rsidRPr="00521A4E">
        <w:t>6</w:t>
      </w:r>
      <w:r w:rsidR="004E7728" w:rsidRPr="00521A4E">
        <w:t>b)</w:t>
      </w:r>
    </w:p>
    <w:p w14:paraId="5462C30C" w14:textId="6827A406" w:rsidR="004E7728" w:rsidRPr="00521A4E" w:rsidRDefault="00F81DDE" w:rsidP="007E3B07">
      <w:pPr>
        <w:pStyle w:val="BodyText"/>
        <w:keepNext/>
        <w:keepLines/>
        <w:tabs>
          <w:tab w:val="left" w:pos="2552"/>
          <w:tab w:val="left" w:pos="3856"/>
          <w:tab w:val="left" w:pos="5216"/>
          <w:tab w:val="left" w:pos="6464"/>
          <w:tab w:val="left" w:pos="7768"/>
          <w:tab w:val="left" w:pos="9072"/>
          <w:tab w:val="left" w:pos="9639"/>
        </w:tabs>
        <w:spacing w:before="240"/>
        <w:jc w:val="center"/>
      </w:pPr>
      <w:r w:rsidRPr="00521A4E">
        <w:rPr>
          <w:noProof/>
        </w:rPr>
        <w:drawing>
          <wp:inline distT="0" distB="0" distL="0" distR="0" wp14:anchorId="6F04C47D" wp14:editId="19281EFC">
            <wp:extent cx="6120765" cy="1880870"/>
            <wp:effectExtent l="0" t="0" r="0" b="5080"/>
            <wp:docPr id="14" name="Picture 14"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Team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1880870"/>
                    </a:xfrm>
                    <a:prstGeom prst="rect">
                      <a:avLst/>
                    </a:prstGeom>
                  </pic:spPr>
                </pic:pic>
              </a:graphicData>
            </a:graphic>
          </wp:inline>
        </w:drawing>
      </w:r>
    </w:p>
    <w:p w14:paraId="7EED49B9" w14:textId="5A58DDDB" w:rsidR="008D370E" w:rsidRPr="00521A4E" w:rsidRDefault="00976D3D" w:rsidP="007E3B07">
      <w:pPr>
        <w:pStyle w:val="Caption"/>
        <w:jc w:val="center"/>
        <w:rPr>
          <w:b w:val="0"/>
          <w:bCs/>
        </w:rPr>
      </w:pPr>
      <w:bookmarkStart w:id="200" w:name="_Ref74597259"/>
      <w:bookmarkStart w:id="201" w:name="_Ref79179569"/>
      <w:r w:rsidRPr="00521A4E">
        <w:rPr>
          <w:b w:val="0"/>
          <w:bCs/>
        </w:rPr>
        <w:t>6</w:t>
      </w:r>
      <w:r w:rsidR="008D370E" w:rsidRPr="00521A4E">
        <w:rPr>
          <w:b w:val="0"/>
          <w:bCs/>
        </w:rPr>
        <w:t>c)</w:t>
      </w:r>
    </w:p>
    <w:p w14:paraId="1FC9FC09" w14:textId="533F2B45" w:rsidR="004E7728" w:rsidRPr="00521A4E" w:rsidRDefault="00E86A38" w:rsidP="00F364B7">
      <w:pPr>
        <w:pStyle w:val="Caption"/>
        <w:jc w:val="both"/>
      </w:pPr>
      <w:bookmarkStart w:id="202" w:name="_Ref86611901"/>
      <w:r w:rsidRPr="00521A4E">
        <w:t xml:space="preserve">Figure </w:t>
      </w:r>
      <w:bookmarkEnd w:id="200"/>
      <w:r w:rsidRPr="00521A4E">
        <w:fldChar w:fldCharType="begin"/>
      </w:r>
      <w:r w:rsidRPr="00521A4E">
        <w:instrText xml:space="preserve"> SEQ Figure \* ARABIC </w:instrText>
      </w:r>
      <w:r w:rsidRPr="00521A4E">
        <w:fldChar w:fldCharType="separate"/>
      </w:r>
      <w:r w:rsidR="00F201E9">
        <w:rPr>
          <w:noProof/>
        </w:rPr>
        <w:t>6</w:t>
      </w:r>
      <w:r w:rsidRPr="00521A4E">
        <w:fldChar w:fldCharType="end"/>
      </w:r>
      <w:bookmarkEnd w:id="201"/>
      <w:bookmarkEnd w:id="202"/>
      <w:r w:rsidRPr="00521A4E">
        <w:t xml:space="preserve">: </w:t>
      </w:r>
      <w:r w:rsidR="00976D3D" w:rsidRPr="00521A4E">
        <w:t>6</w:t>
      </w:r>
      <w:r w:rsidR="008D370E" w:rsidRPr="00521A4E">
        <w:t xml:space="preserve">a) Guard symbols for the Rel-16 TDM case; </w:t>
      </w:r>
      <w:r w:rsidR="00976D3D" w:rsidRPr="00521A4E">
        <w:t>6</w:t>
      </w:r>
      <w:r w:rsidR="008D370E" w:rsidRPr="00521A4E">
        <w:t xml:space="preserve">b) Grey marked </w:t>
      </w:r>
      <w:r w:rsidR="008F0F7B" w:rsidRPr="00521A4E">
        <w:t>scenario</w:t>
      </w:r>
      <w:r w:rsidR="008D370E" w:rsidRPr="00521A4E">
        <w:t xml:space="preserve">s may have a different number of guard symbols compared to the Rel-16 TDM case; </w:t>
      </w:r>
      <w:r w:rsidR="00976D3D" w:rsidRPr="00521A4E">
        <w:t>6</w:t>
      </w:r>
      <w:r w:rsidR="008D370E" w:rsidRPr="00521A4E">
        <w:t>c)</w:t>
      </w:r>
      <w:r w:rsidR="008F0F7B" w:rsidRPr="00521A4E">
        <w:t xml:space="preserve"> Scenario</w:t>
      </w:r>
      <w:r w:rsidR="008D370E" w:rsidRPr="00521A4E">
        <w:t>s marked</w:t>
      </w:r>
      <w:r w:rsidR="008F0F7B" w:rsidRPr="00521A4E">
        <w:t xml:space="preserve"> with a blue circle may need Guard symbols between IAB-node and parent-node operations</w:t>
      </w:r>
    </w:p>
    <w:p w14:paraId="4D924CAE" w14:textId="141021D1" w:rsidR="00FD6673" w:rsidRPr="00521A4E" w:rsidRDefault="00FD6673" w:rsidP="007E3B07">
      <w:pPr>
        <w:pStyle w:val="Heading1"/>
        <w:jc w:val="both"/>
        <w:rPr>
          <w:lang w:val="en-US"/>
        </w:rPr>
      </w:pPr>
      <w:bookmarkStart w:id="203" w:name="_Toc86672082"/>
      <w:bookmarkStart w:id="204" w:name="_Toc86672287"/>
      <w:bookmarkStart w:id="205" w:name="_Toc86672083"/>
      <w:bookmarkStart w:id="206" w:name="_Toc86672288"/>
      <w:bookmarkStart w:id="207" w:name="_Toc86672084"/>
      <w:bookmarkStart w:id="208" w:name="_Toc86672289"/>
      <w:bookmarkStart w:id="209" w:name="_Toc86672085"/>
      <w:bookmarkStart w:id="210" w:name="_Toc86672290"/>
      <w:bookmarkStart w:id="211" w:name="_Toc86672086"/>
      <w:bookmarkStart w:id="212" w:name="_Toc86672291"/>
      <w:bookmarkStart w:id="213" w:name="_Toc86672087"/>
      <w:bookmarkStart w:id="214" w:name="_Toc86672292"/>
      <w:bookmarkStart w:id="215" w:name="_Toc86672088"/>
      <w:bookmarkStart w:id="216" w:name="_Toc86672293"/>
      <w:bookmarkStart w:id="217" w:name="_Toc86672089"/>
      <w:bookmarkStart w:id="218" w:name="_Toc86672294"/>
      <w:bookmarkStart w:id="219" w:name="_Toc86672090"/>
      <w:bookmarkStart w:id="220" w:name="_Toc86672295"/>
      <w:bookmarkStart w:id="221" w:name="_Toc86672091"/>
      <w:bookmarkStart w:id="222" w:name="_Toc86672296"/>
      <w:bookmarkStart w:id="223" w:name="_Toc86672092"/>
      <w:bookmarkStart w:id="224" w:name="_Toc86672297"/>
      <w:bookmarkStart w:id="225" w:name="_Toc86672093"/>
      <w:bookmarkStart w:id="226" w:name="_Toc86672298"/>
      <w:bookmarkStart w:id="227" w:name="_Toc86672094"/>
      <w:bookmarkStart w:id="228" w:name="_Toc8667229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521A4E">
        <w:rPr>
          <w:lang w:val="en-US"/>
        </w:rPr>
        <w:t>Comments on RRC parameters</w:t>
      </w:r>
    </w:p>
    <w:p w14:paraId="47B7B2B5" w14:textId="50FBE45C" w:rsidR="00AF1BFC" w:rsidRPr="00521A4E" w:rsidRDefault="00AF1BFC" w:rsidP="007E3B07">
      <w:pPr>
        <w:jc w:val="both"/>
        <w:rPr>
          <w:lang w:eastAsia="ja-JP"/>
        </w:rPr>
      </w:pPr>
      <w:r w:rsidRPr="00521A4E">
        <w:rPr>
          <w:lang w:eastAsia="ja-JP"/>
        </w:rPr>
        <w:t xml:space="preserve">This section addresses some additional upper layer parameters to support eIAB physical layer operations, which are not included the latest summary from RAN1#106bis </w:t>
      </w:r>
      <w:r w:rsidRPr="00521A4E">
        <w:rPr>
          <w:lang w:eastAsia="ja-JP"/>
        </w:rPr>
        <w:fldChar w:fldCharType="begin"/>
      </w:r>
      <w:r w:rsidRPr="00521A4E">
        <w:rPr>
          <w:lang w:eastAsia="ja-JP"/>
        </w:rPr>
        <w:instrText xml:space="preserve"> REF _Ref85812092 \r \h </w:instrText>
      </w:r>
      <w:r w:rsidRPr="00521A4E">
        <w:rPr>
          <w:lang w:eastAsia="ja-JP"/>
        </w:rPr>
      </w:r>
      <w:r w:rsidR="007E3B07" w:rsidRPr="00521A4E">
        <w:rPr>
          <w:lang w:eastAsia="ja-JP"/>
        </w:rPr>
        <w:instrText xml:space="preserve"> \* MERGEFORMAT </w:instrText>
      </w:r>
      <w:r w:rsidRPr="00521A4E">
        <w:rPr>
          <w:lang w:eastAsia="ja-JP"/>
        </w:rPr>
        <w:fldChar w:fldCharType="separate"/>
      </w:r>
      <w:r w:rsidR="00F201E9">
        <w:rPr>
          <w:lang w:eastAsia="ja-JP"/>
        </w:rPr>
        <w:t>[15]</w:t>
      </w:r>
      <w:r w:rsidRPr="00521A4E">
        <w:rPr>
          <w:lang w:eastAsia="ja-JP"/>
        </w:rPr>
        <w:fldChar w:fldCharType="end"/>
      </w:r>
      <w:r w:rsidRPr="00521A4E">
        <w:rPr>
          <w:lang w:eastAsia="ja-JP"/>
        </w:rPr>
        <w:t xml:space="preserve">. </w:t>
      </w:r>
    </w:p>
    <w:p w14:paraId="74A3B730" w14:textId="0F7DA91F" w:rsidR="00AF1BFC" w:rsidRPr="00521A4E" w:rsidRDefault="00AF1BFC" w:rsidP="007E3B07">
      <w:pPr>
        <w:jc w:val="both"/>
      </w:pPr>
      <w:r w:rsidRPr="00521A4E">
        <w:rPr>
          <w:lang w:eastAsia="ja-JP"/>
        </w:rPr>
        <w:t xml:space="preserve">Further, in the document that followed post-RAN1 #106-e, some differences of opinions were presented among companies </w:t>
      </w:r>
      <w:r w:rsidRPr="00521A4E">
        <w:rPr>
          <w:lang w:eastAsia="ja-JP"/>
        </w:rPr>
        <w:fldChar w:fldCharType="begin"/>
      </w:r>
      <w:r w:rsidRPr="00521A4E">
        <w:rPr>
          <w:lang w:eastAsia="ja-JP"/>
        </w:rPr>
        <w:instrText xml:space="preserve"> REF _Ref85813569 \r \h </w:instrText>
      </w:r>
      <w:r w:rsidRPr="00521A4E">
        <w:rPr>
          <w:lang w:eastAsia="ja-JP"/>
        </w:rPr>
      </w:r>
      <w:r w:rsidR="007E3B07" w:rsidRPr="00521A4E">
        <w:rPr>
          <w:lang w:eastAsia="ja-JP"/>
        </w:rPr>
        <w:instrText xml:space="preserve"> \* MERGEFORMAT </w:instrText>
      </w:r>
      <w:r w:rsidRPr="00521A4E">
        <w:rPr>
          <w:lang w:eastAsia="ja-JP"/>
        </w:rPr>
        <w:fldChar w:fldCharType="separate"/>
      </w:r>
      <w:r w:rsidR="00F201E9">
        <w:rPr>
          <w:lang w:eastAsia="ja-JP"/>
        </w:rPr>
        <w:t>[16]</w:t>
      </w:r>
      <w:r w:rsidRPr="00521A4E">
        <w:rPr>
          <w:lang w:eastAsia="ja-JP"/>
        </w:rPr>
        <w:fldChar w:fldCharType="end"/>
      </w:r>
      <w:r w:rsidRPr="00521A4E">
        <w:rPr>
          <w:lang w:eastAsia="ja-JP"/>
        </w:rPr>
        <w:t>. Here, we present our view on how these differences of opinion should be solved.</w:t>
      </w:r>
    </w:p>
    <w:p w14:paraId="09BDD298" w14:textId="77777777" w:rsidR="00407605" w:rsidRPr="00521A4E" w:rsidRDefault="00407605" w:rsidP="007E3B07">
      <w:pPr>
        <w:pStyle w:val="Heading2"/>
        <w:jc w:val="both"/>
        <w:rPr>
          <w:lang w:val="en-US"/>
        </w:rPr>
      </w:pPr>
      <w:r w:rsidRPr="00521A4E">
        <w:rPr>
          <w:lang w:val="en-US"/>
        </w:rPr>
        <w:lastRenderedPageBreak/>
        <w:t>Frequency domain soft resource availability</w:t>
      </w:r>
    </w:p>
    <w:p w14:paraId="5244D328" w14:textId="0A1D0B86" w:rsidR="00407605" w:rsidRPr="00521A4E" w:rsidRDefault="00407605" w:rsidP="007E3B07">
      <w:pPr>
        <w:jc w:val="both"/>
        <w:rPr>
          <w:lang w:eastAsia="ja-JP"/>
        </w:rPr>
      </w:pPr>
      <w:r w:rsidRPr="00521A4E">
        <w:rPr>
          <w:lang w:eastAsia="ja-JP"/>
        </w:rPr>
        <w:t xml:space="preserve">In RAN1#106bis-e, the following agreement was made regarding frequency domain DCI format 2_5 </w:t>
      </w:r>
      <w:r w:rsidR="00AF1BFC" w:rsidRPr="00521A4E">
        <w:rPr>
          <w:lang w:eastAsia="ja-JP"/>
        </w:rPr>
        <w:fldChar w:fldCharType="begin"/>
      </w:r>
      <w:r w:rsidR="00AF1BFC" w:rsidRPr="00521A4E">
        <w:rPr>
          <w:lang w:eastAsia="ja-JP"/>
        </w:rPr>
        <w:instrText xml:space="preserve"> REF _Ref85313944 \r \h </w:instrText>
      </w:r>
      <w:r w:rsidR="00AF1BFC" w:rsidRPr="00521A4E">
        <w:rPr>
          <w:lang w:eastAsia="ja-JP"/>
        </w:rPr>
      </w:r>
      <w:r w:rsidR="007E3B07" w:rsidRPr="00521A4E">
        <w:rPr>
          <w:lang w:eastAsia="ja-JP"/>
        </w:rPr>
        <w:instrText xml:space="preserve"> \* MERGEFORMAT </w:instrText>
      </w:r>
      <w:r w:rsidR="00AF1BFC" w:rsidRPr="00521A4E">
        <w:rPr>
          <w:lang w:eastAsia="ja-JP"/>
        </w:rPr>
        <w:fldChar w:fldCharType="separate"/>
      </w:r>
      <w:r w:rsidR="00F201E9">
        <w:rPr>
          <w:lang w:eastAsia="ja-JP"/>
        </w:rPr>
        <w:t>[4]</w:t>
      </w:r>
      <w:r w:rsidR="00AF1BFC" w:rsidRPr="00521A4E">
        <w:rPr>
          <w:lang w:eastAsia="ja-JP"/>
        </w:rPr>
        <w:fldChar w:fldCharType="end"/>
      </w:r>
      <w:r w:rsidRPr="00521A4E">
        <w:rPr>
          <w:lang w:eastAsia="ja-JP"/>
        </w:rPr>
        <w:t xml:space="preserve"> :</w:t>
      </w:r>
    </w:p>
    <w:tbl>
      <w:tblPr>
        <w:tblStyle w:val="TableGrid"/>
        <w:tblW w:w="0" w:type="auto"/>
        <w:tblLook w:val="04A0" w:firstRow="1" w:lastRow="0" w:firstColumn="1" w:lastColumn="0" w:noHBand="0" w:noVBand="1"/>
      </w:tblPr>
      <w:tblGrid>
        <w:gridCol w:w="9629"/>
      </w:tblGrid>
      <w:tr w:rsidR="00407605" w:rsidRPr="00521A4E" w14:paraId="6779BB70" w14:textId="77777777" w:rsidTr="00DC049A">
        <w:tc>
          <w:tcPr>
            <w:tcW w:w="9629" w:type="dxa"/>
          </w:tcPr>
          <w:p w14:paraId="35657961" w14:textId="77777777" w:rsidR="00407605" w:rsidRPr="00521A4E" w:rsidRDefault="00407605" w:rsidP="007E3B07">
            <w:pPr>
              <w:jc w:val="both"/>
              <w:rPr>
                <w:rFonts w:eastAsia="SimSun" w:cs="Arial"/>
                <w:b/>
                <w:sz w:val="20"/>
                <w:szCs w:val="20"/>
                <w:lang w:eastAsia="zh-CN"/>
              </w:rPr>
            </w:pPr>
            <w:r w:rsidRPr="00521A4E">
              <w:rPr>
                <w:rFonts w:cs="Arial"/>
                <w:b/>
                <w:sz w:val="20"/>
                <w:szCs w:val="20"/>
                <w:highlight w:val="green"/>
                <w:lang w:eastAsia="zh-CN"/>
              </w:rPr>
              <w:t>Agreement</w:t>
            </w:r>
          </w:p>
          <w:p w14:paraId="10EE3B88" w14:textId="77777777" w:rsidR="00407605" w:rsidRPr="00521A4E" w:rsidRDefault="00407605" w:rsidP="007E3B07">
            <w:pPr>
              <w:spacing w:before="120" w:after="100" w:afterAutospacing="1"/>
              <w:jc w:val="both"/>
              <w:rPr>
                <w:sz w:val="20"/>
                <w:szCs w:val="18"/>
              </w:rPr>
            </w:pPr>
            <w:r w:rsidRPr="00521A4E">
              <w:rPr>
                <w:sz w:val="20"/>
                <w:szCs w:val="18"/>
              </w:rPr>
              <w:t xml:space="preserve">A single DCI format 2_5 can be received indicating availability for the soft resources of the </w:t>
            </w:r>
            <w:r w:rsidRPr="00521A4E">
              <w:rPr>
                <w:sz w:val="20"/>
                <w:szCs w:val="18"/>
                <w:highlight w:val="yellow"/>
              </w:rPr>
              <w:t>respective RB sets</w:t>
            </w:r>
            <w:r w:rsidRPr="00521A4E">
              <w:rPr>
                <w:sz w:val="20"/>
                <w:szCs w:val="18"/>
              </w:rPr>
              <w:t xml:space="preserve"> corresponding to a given time resource of the child IAB-DU cell.</w:t>
            </w:r>
          </w:p>
          <w:p w14:paraId="1E6E9A37" w14:textId="77777777" w:rsidR="00407605" w:rsidRPr="00521A4E" w:rsidRDefault="00407605" w:rsidP="007E3B07">
            <w:pPr>
              <w:numPr>
                <w:ilvl w:val="0"/>
                <w:numId w:val="24"/>
              </w:numPr>
              <w:tabs>
                <w:tab w:val="left" w:pos="720"/>
              </w:tabs>
              <w:spacing w:before="120" w:after="100" w:afterAutospacing="1"/>
              <w:jc w:val="both"/>
              <w:rPr>
                <w:sz w:val="20"/>
                <w:szCs w:val="18"/>
              </w:rPr>
            </w:pPr>
            <w:r w:rsidRPr="00521A4E">
              <w:rPr>
                <w:sz w:val="20"/>
                <w:szCs w:val="18"/>
              </w:rPr>
              <w:t>FFS: Extension of </w:t>
            </w:r>
            <w:r w:rsidRPr="00521A4E">
              <w:rPr>
                <w:i/>
                <w:iCs/>
                <w:sz w:val="20"/>
                <w:szCs w:val="18"/>
              </w:rPr>
              <w:t>AvailabiltyCombination</w:t>
            </w:r>
            <w:r w:rsidRPr="00521A4E">
              <w:rPr>
                <w:sz w:val="20"/>
                <w:szCs w:val="18"/>
              </w:rPr>
              <w:t> to include multiple RB sets in a </w:t>
            </w:r>
            <w:r w:rsidRPr="00521A4E">
              <w:rPr>
                <w:i/>
                <w:iCs/>
                <w:sz w:val="20"/>
                <w:szCs w:val="18"/>
              </w:rPr>
              <w:t>resourceAvailabilty</w:t>
            </w:r>
            <w:r w:rsidRPr="00521A4E">
              <w:rPr>
                <w:sz w:val="20"/>
                <w:szCs w:val="18"/>
              </w:rPr>
              <w:t>indication</w:t>
            </w:r>
          </w:p>
          <w:p w14:paraId="141EE03D" w14:textId="77777777" w:rsidR="00407605" w:rsidRPr="00521A4E" w:rsidRDefault="00407605" w:rsidP="007E3B07">
            <w:pPr>
              <w:numPr>
                <w:ilvl w:val="0"/>
                <w:numId w:val="24"/>
              </w:numPr>
              <w:tabs>
                <w:tab w:val="left" w:pos="720"/>
              </w:tabs>
              <w:spacing w:before="120" w:after="100" w:afterAutospacing="1"/>
              <w:jc w:val="both"/>
              <w:rPr>
                <w:sz w:val="20"/>
                <w:szCs w:val="18"/>
              </w:rPr>
            </w:pPr>
            <w:r w:rsidRPr="00521A4E">
              <w:rPr>
                <w:sz w:val="20"/>
                <w:szCs w:val="18"/>
              </w:rPr>
              <w:t>FFS: Update</w:t>
            </w:r>
            <w:r w:rsidRPr="00521A4E">
              <w:rPr>
                <w:i/>
                <w:iCs/>
                <w:sz w:val="20"/>
                <w:szCs w:val="18"/>
              </w:rPr>
              <w:t> resourceAvailability</w:t>
            </w:r>
            <w:r w:rsidRPr="00521A4E">
              <w:rPr>
                <w:sz w:val="20"/>
                <w:szCs w:val="18"/>
              </w:rPr>
              <w:t> mapping table defined in TS38.213 so that the indication of availability can be applied over soft resources in frequency-domain for DL or UL or Flexible symbols.</w:t>
            </w:r>
          </w:p>
          <w:p w14:paraId="7F8D36BC" w14:textId="77777777" w:rsidR="00407605" w:rsidRPr="00521A4E" w:rsidRDefault="00407605" w:rsidP="007E3B07">
            <w:pPr>
              <w:numPr>
                <w:ilvl w:val="0"/>
                <w:numId w:val="24"/>
              </w:numPr>
              <w:tabs>
                <w:tab w:val="left" w:pos="720"/>
              </w:tabs>
              <w:spacing w:before="120" w:after="100" w:afterAutospacing="1"/>
              <w:jc w:val="both"/>
              <w:rPr>
                <w:sz w:val="20"/>
                <w:szCs w:val="18"/>
              </w:rPr>
            </w:pPr>
            <w:r w:rsidRPr="00521A4E">
              <w:rPr>
                <w:sz w:val="20"/>
                <w:szCs w:val="18"/>
              </w:rPr>
              <w:t>FFS: Need for extension 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tc>
      </w:tr>
    </w:tbl>
    <w:p w14:paraId="7F31A717" w14:textId="77777777" w:rsidR="00407605" w:rsidRPr="00521A4E" w:rsidRDefault="00407605" w:rsidP="003C46E0">
      <w:pPr>
        <w:spacing w:before="240"/>
        <w:jc w:val="both"/>
        <w:rPr>
          <w:lang w:eastAsia="ja-JP"/>
        </w:rPr>
      </w:pPr>
      <w:r w:rsidRPr="00521A4E">
        <w:rPr>
          <w:lang w:eastAsia="ja-JP"/>
        </w:rPr>
        <w:t>According to the above agreement, in Rel-17 IAB, the (single) availability indication for the frequency domain soft resources can be provided to a set of RB sets. This will introduce new RRC parameters which are needed for dynamic indication of frequency domain soft resource availability and they should be included to the list of upper layer parameters to support eIAB physical layer operation.</w:t>
      </w:r>
    </w:p>
    <w:p w14:paraId="2EE40B20" w14:textId="77777777" w:rsidR="00407605" w:rsidRPr="00521A4E" w:rsidRDefault="00407605" w:rsidP="00F364B7">
      <w:pPr>
        <w:pStyle w:val="Proposal"/>
        <w:tabs>
          <w:tab w:val="clear" w:pos="1872"/>
        </w:tabs>
        <w:ind w:left="1304"/>
        <w:rPr>
          <w:lang w:eastAsia="ja-JP"/>
        </w:rPr>
      </w:pPr>
      <w:bookmarkStart w:id="229" w:name="_Toc87042267"/>
      <w:r w:rsidRPr="00521A4E">
        <w:rPr>
          <w:lang w:eastAsia="ja-JP"/>
        </w:rPr>
        <w:t>Include new RRC parameters which are needed to support dynamic indication of frequency domain soft resource availability to the list of upper layer parameters for eIAB physical layer operation.</w:t>
      </w:r>
      <w:bookmarkEnd w:id="229"/>
    </w:p>
    <w:p w14:paraId="7D8BA882" w14:textId="77777777" w:rsidR="00407605" w:rsidRPr="00521A4E" w:rsidRDefault="00407605" w:rsidP="007E3B07">
      <w:pPr>
        <w:pStyle w:val="Heading2"/>
        <w:jc w:val="both"/>
        <w:rPr>
          <w:lang w:val="en-US"/>
        </w:rPr>
      </w:pPr>
      <w:r w:rsidRPr="00521A4E">
        <w:rPr>
          <w:lang w:val="en-US"/>
        </w:rPr>
        <w:t>Dual connectivity</w:t>
      </w:r>
    </w:p>
    <w:p w14:paraId="4B87DF67" w14:textId="563911BE" w:rsidR="00407605" w:rsidRPr="00521A4E" w:rsidRDefault="00407605" w:rsidP="007E3B07">
      <w:pPr>
        <w:jc w:val="both"/>
        <w:rPr>
          <w:rFonts w:cs="Arial"/>
          <w:szCs w:val="20"/>
        </w:rPr>
      </w:pPr>
      <w:r w:rsidRPr="00521A4E">
        <w:rPr>
          <w:rFonts w:cs="Arial"/>
          <w:szCs w:val="20"/>
        </w:rPr>
        <w:t xml:space="preserve">In RAN1#106e and RAN1#106bis-e, the following agreements were made regarding directional collision handing in IAB intra-donor </w:t>
      </w:r>
      <w:r w:rsidR="00AF1BFC" w:rsidRPr="00521A4E">
        <w:rPr>
          <w:rFonts w:cs="Arial"/>
          <w:szCs w:val="20"/>
        </w:rPr>
        <w:fldChar w:fldCharType="begin"/>
      </w:r>
      <w:r w:rsidR="00AF1BFC" w:rsidRPr="00521A4E">
        <w:rPr>
          <w:rFonts w:cs="Arial"/>
          <w:szCs w:val="20"/>
        </w:rPr>
        <w:instrText xml:space="preserve"> REF _Ref74242731 \r \h </w:instrText>
      </w:r>
      <w:r w:rsidR="00AF1BFC" w:rsidRPr="00521A4E">
        <w:rPr>
          <w:rFonts w:cs="Arial"/>
          <w:szCs w:val="20"/>
        </w:rPr>
      </w:r>
      <w:r w:rsidR="007E3B07" w:rsidRPr="00521A4E">
        <w:rPr>
          <w:rFonts w:cs="Arial"/>
          <w:szCs w:val="20"/>
        </w:rPr>
        <w:instrText xml:space="preserve"> \* MERGEFORMAT </w:instrText>
      </w:r>
      <w:r w:rsidR="00AF1BFC" w:rsidRPr="00521A4E">
        <w:rPr>
          <w:rFonts w:cs="Arial"/>
          <w:szCs w:val="20"/>
        </w:rPr>
        <w:fldChar w:fldCharType="separate"/>
      </w:r>
      <w:r w:rsidR="00F201E9">
        <w:rPr>
          <w:rFonts w:cs="Arial"/>
          <w:szCs w:val="20"/>
        </w:rPr>
        <w:t>[5]</w:t>
      </w:r>
      <w:r w:rsidR="00AF1BFC" w:rsidRPr="00521A4E">
        <w:rPr>
          <w:rFonts w:cs="Arial"/>
          <w:szCs w:val="20"/>
        </w:rPr>
        <w:fldChar w:fldCharType="end"/>
      </w:r>
      <w:r w:rsidRPr="00521A4E">
        <w:rPr>
          <w:rFonts w:cs="Arial"/>
          <w:szCs w:val="20"/>
        </w:rPr>
        <w:t xml:space="preserve"> and inter-donor dual connectivity</w:t>
      </w:r>
      <w:r w:rsidR="00AF1BFC" w:rsidRPr="00521A4E">
        <w:rPr>
          <w:rFonts w:cs="Arial"/>
          <w:szCs w:val="20"/>
        </w:rPr>
        <w:t xml:space="preserve"> </w:t>
      </w:r>
      <w:r w:rsidR="00AF1BFC" w:rsidRPr="00521A4E">
        <w:rPr>
          <w:rFonts w:cs="Arial"/>
          <w:szCs w:val="20"/>
        </w:rPr>
        <w:fldChar w:fldCharType="begin"/>
      </w:r>
      <w:r w:rsidR="00AF1BFC" w:rsidRPr="00521A4E">
        <w:rPr>
          <w:rFonts w:cs="Arial"/>
          <w:szCs w:val="20"/>
        </w:rPr>
        <w:instrText xml:space="preserve"> REF _Ref85313944 \r \h </w:instrText>
      </w:r>
      <w:r w:rsidR="00AF1BFC" w:rsidRPr="00521A4E">
        <w:rPr>
          <w:rFonts w:cs="Arial"/>
          <w:szCs w:val="20"/>
        </w:rPr>
      </w:r>
      <w:r w:rsidR="007E3B07" w:rsidRPr="00521A4E">
        <w:rPr>
          <w:rFonts w:cs="Arial"/>
          <w:szCs w:val="20"/>
        </w:rPr>
        <w:instrText xml:space="preserve"> \* MERGEFORMAT </w:instrText>
      </w:r>
      <w:r w:rsidR="00AF1BFC" w:rsidRPr="00521A4E">
        <w:rPr>
          <w:rFonts w:cs="Arial"/>
          <w:szCs w:val="20"/>
        </w:rPr>
        <w:fldChar w:fldCharType="separate"/>
      </w:r>
      <w:r w:rsidR="00F201E9">
        <w:rPr>
          <w:rFonts w:cs="Arial"/>
          <w:szCs w:val="20"/>
        </w:rPr>
        <w:t>[4]</w:t>
      </w:r>
      <w:r w:rsidR="00AF1BFC"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407605" w:rsidRPr="00521A4E" w14:paraId="557B8C9E" w14:textId="77777777" w:rsidTr="00DC049A">
        <w:tc>
          <w:tcPr>
            <w:tcW w:w="9629" w:type="dxa"/>
          </w:tcPr>
          <w:p w14:paraId="369254F3" w14:textId="77777777" w:rsidR="00407605" w:rsidRPr="00521A4E" w:rsidRDefault="00407605" w:rsidP="007E3B07">
            <w:pPr>
              <w:jc w:val="both"/>
              <w:rPr>
                <w:rFonts w:cs="Arial"/>
                <w:b/>
                <w:sz w:val="20"/>
                <w:szCs w:val="20"/>
                <w:highlight w:val="green"/>
              </w:rPr>
            </w:pPr>
            <w:r w:rsidRPr="00521A4E">
              <w:rPr>
                <w:rFonts w:cs="Arial"/>
                <w:b/>
                <w:sz w:val="20"/>
                <w:szCs w:val="20"/>
                <w:highlight w:val="green"/>
              </w:rPr>
              <w:t>Agreement (RAN1#106e)</w:t>
            </w:r>
          </w:p>
          <w:p w14:paraId="26D1C2A6" w14:textId="77777777" w:rsidR="00407605" w:rsidRPr="00521A4E" w:rsidRDefault="00407605" w:rsidP="007E3B07">
            <w:pPr>
              <w:jc w:val="both"/>
              <w:rPr>
                <w:rFonts w:cs="Arial"/>
                <w:bCs/>
                <w:color w:val="000000"/>
                <w:kern w:val="24"/>
                <w:sz w:val="20"/>
                <w:szCs w:val="20"/>
              </w:rPr>
            </w:pPr>
            <w:r w:rsidRPr="00521A4E">
              <w:rPr>
                <w:rFonts w:cs="Arial"/>
                <w:bCs/>
                <w:color w:val="000000"/>
                <w:kern w:val="24"/>
                <w:sz w:val="20"/>
                <w:szCs w:val="20"/>
              </w:rPr>
              <w:t>The following solutions are supported to handle potential indication conflict of overlapping flexible symbols between two parent IAB-nodes:</w:t>
            </w:r>
          </w:p>
          <w:p w14:paraId="58252203" w14:textId="77777777" w:rsidR="00407605" w:rsidRPr="00521A4E" w:rsidRDefault="00407605" w:rsidP="007E3B07">
            <w:pPr>
              <w:pStyle w:val="ListParagraph"/>
              <w:numPr>
                <w:ilvl w:val="0"/>
                <w:numId w:val="18"/>
              </w:numPr>
              <w:spacing w:line="240" w:lineRule="auto"/>
              <w:contextualSpacing/>
              <w:jc w:val="both"/>
              <w:rPr>
                <w:rFonts w:ascii="Arial" w:hAnsi="Arial" w:cs="Arial"/>
                <w:bCs/>
                <w:color w:val="000000"/>
                <w:kern w:val="24"/>
                <w:sz w:val="20"/>
                <w:szCs w:val="20"/>
                <w:lang w:val="en-US"/>
              </w:rPr>
            </w:pPr>
            <w:r w:rsidRPr="00521A4E">
              <w:rPr>
                <w:rFonts w:ascii="Arial" w:hAnsi="Arial" w:cs="Arial"/>
                <w:bCs/>
                <w:color w:val="000000"/>
                <w:kern w:val="24"/>
                <w:sz w:val="20"/>
                <w:szCs w:val="20"/>
                <w:lang w:val="en-US"/>
              </w:rPr>
              <w:t xml:space="preserve">In intra-donor DC scenarios, if the IAB MT does not support simultaneous Tx and Rx on different carriers, it does not expect to receive conflicting DCI 2_0 from different parents. </w:t>
            </w:r>
          </w:p>
          <w:p w14:paraId="2396A06A" w14:textId="77777777" w:rsidR="00407605" w:rsidRPr="00521A4E" w:rsidRDefault="00407605" w:rsidP="007E3B07">
            <w:pPr>
              <w:spacing w:line="288" w:lineRule="auto"/>
              <w:jc w:val="both"/>
              <w:rPr>
                <w:rFonts w:ascii="Calibri" w:hAnsi="Calibri" w:cs="Calibri"/>
                <w:b/>
                <w:szCs w:val="20"/>
                <w:highlight w:val="green"/>
              </w:rPr>
            </w:pPr>
          </w:p>
          <w:p w14:paraId="6494B562" w14:textId="77777777" w:rsidR="00407605" w:rsidRPr="00521A4E" w:rsidRDefault="00407605" w:rsidP="007E3B07">
            <w:pPr>
              <w:spacing w:line="288" w:lineRule="auto"/>
              <w:jc w:val="both"/>
              <w:rPr>
                <w:rFonts w:cs="Arial"/>
                <w:b/>
                <w:color w:val="000000"/>
                <w:kern w:val="24"/>
                <w:sz w:val="20"/>
                <w:szCs w:val="20"/>
                <w:highlight w:val="green"/>
              </w:rPr>
            </w:pPr>
            <w:r w:rsidRPr="00521A4E">
              <w:rPr>
                <w:rFonts w:cs="Arial"/>
                <w:b/>
                <w:sz w:val="20"/>
                <w:szCs w:val="20"/>
                <w:highlight w:val="green"/>
              </w:rPr>
              <w:t>Agreement (RAN1#106bise)</w:t>
            </w:r>
          </w:p>
          <w:p w14:paraId="37FF5741" w14:textId="77777777" w:rsidR="00407605" w:rsidRPr="00521A4E" w:rsidRDefault="00407605" w:rsidP="007E3B07">
            <w:pPr>
              <w:spacing w:line="288" w:lineRule="auto"/>
              <w:jc w:val="both"/>
              <w:rPr>
                <w:rFonts w:cs="Arial"/>
                <w:color w:val="000000"/>
                <w:kern w:val="24"/>
                <w:sz w:val="20"/>
                <w:szCs w:val="20"/>
              </w:rPr>
            </w:pPr>
            <w:r w:rsidRPr="00521A4E">
              <w:rPr>
                <w:rFonts w:eastAsia="Calibri" w:cs="Arial"/>
                <w:sz w:val="20"/>
                <w:szCs w:val="20"/>
              </w:rPr>
              <w:t>Select the following alternative to handle potential indication conflict of symbols configured as semi-static flexible by </w:t>
            </w:r>
            <w:r w:rsidRPr="00521A4E">
              <w:rPr>
                <w:rFonts w:eastAsia="Calibri" w:cs="Arial"/>
                <w:sz w:val="20"/>
                <w:szCs w:val="20"/>
                <w:highlight w:val="yellow"/>
              </w:rPr>
              <w:t>one parent node</w:t>
            </w:r>
            <w:r w:rsidRPr="00521A4E">
              <w:rPr>
                <w:rFonts w:eastAsia="Calibri" w:cs="Arial"/>
                <w:sz w:val="20"/>
                <w:szCs w:val="20"/>
              </w:rPr>
              <w:t>, but not the other in inter-donor DC scenarios if the IAB MT of the dual-connected IAB-node does not support simultaneous Tx and Rx on different carriers:</w:t>
            </w:r>
          </w:p>
          <w:p w14:paraId="59C32C9B" w14:textId="77777777" w:rsidR="00407605" w:rsidRPr="00521A4E" w:rsidRDefault="00407605" w:rsidP="007E3B07">
            <w:pPr>
              <w:pStyle w:val="ListParagraph"/>
              <w:numPr>
                <w:ilvl w:val="0"/>
                <w:numId w:val="19"/>
              </w:numPr>
              <w:spacing w:line="240" w:lineRule="auto"/>
              <w:jc w:val="both"/>
              <w:rPr>
                <w:rFonts w:ascii="Arial" w:hAnsi="Arial" w:cs="Arial"/>
                <w:sz w:val="20"/>
                <w:szCs w:val="20"/>
                <w:lang w:val="en-US"/>
              </w:rPr>
            </w:pPr>
            <w:r w:rsidRPr="00521A4E">
              <w:rPr>
                <w:rFonts w:ascii="Arial" w:hAnsi="Arial" w:cs="Arial"/>
                <w:sz w:val="20"/>
                <w:szCs w:val="20"/>
                <w:lang w:val="en-US"/>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2F9327E7" w14:textId="77777777" w:rsidR="00407605" w:rsidRPr="00521A4E" w:rsidRDefault="00407605" w:rsidP="007E3B07">
            <w:pPr>
              <w:jc w:val="both"/>
              <w:rPr>
                <w:rFonts w:eastAsia="Calibri" w:cs="Arial"/>
                <w:sz w:val="20"/>
                <w:szCs w:val="20"/>
              </w:rPr>
            </w:pPr>
            <w:r w:rsidRPr="00521A4E">
              <w:rPr>
                <w:rFonts w:eastAsia="Calibri" w:cs="Arial"/>
                <w:sz w:val="20"/>
                <w:szCs w:val="20"/>
              </w:rPr>
              <w:t xml:space="preserve">Select the following alternative to handle potential indication conflict of symbols configured as semi-static flexible by </w:t>
            </w:r>
            <w:r w:rsidRPr="00521A4E">
              <w:rPr>
                <w:rFonts w:eastAsia="Calibri" w:cs="Arial"/>
                <w:sz w:val="20"/>
                <w:szCs w:val="20"/>
                <w:highlight w:val="yellow"/>
              </w:rPr>
              <w:t>both parent nodes</w:t>
            </w:r>
            <w:r w:rsidRPr="00521A4E">
              <w:rPr>
                <w:rFonts w:eastAsia="Calibri" w:cs="Arial"/>
                <w:sz w:val="20"/>
                <w:szCs w:val="20"/>
              </w:rPr>
              <w:t xml:space="preserve"> in inter-donor DC scenarios if the IAB MT of the dual-connected IAB-node does not support simultaneous Tx and Rx on different carriers:</w:t>
            </w:r>
          </w:p>
          <w:p w14:paraId="1AC3680D" w14:textId="02F0C236" w:rsidR="00407605" w:rsidRPr="00521A4E" w:rsidRDefault="00407605" w:rsidP="00F068F2">
            <w:pPr>
              <w:pStyle w:val="ListParagraph"/>
              <w:numPr>
                <w:ilvl w:val="0"/>
                <w:numId w:val="19"/>
              </w:numPr>
              <w:spacing w:after="240" w:line="240" w:lineRule="auto"/>
              <w:jc w:val="both"/>
              <w:rPr>
                <w:rFonts w:ascii="Arial" w:hAnsi="Arial" w:cs="Arial"/>
                <w:sz w:val="20"/>
                <w:szCs w:val="20"/>
                <w:lang w:val="en-US"/>
              </w:rPr>
            </w:pPr>
            <w:r w:rsidRPr="00521A4E">
              <w:rPr>
                <w:rFonts w:ascii="Arial" w:hAnsi="Arial" w:cs="Arial"/>
                <w:sz w:val="20"/>
                <w:szCs w:val="20"/>
                <w:lang w:val="en-US"/>
              </w:rPr>
              <w:t>Alt. 5: If a conflict occurs, the IAB MT is expected to perform as scheduled by MCG</w:t>
            </w:r>
          </w:p>
        </w:tc>
      </w:tr>
    </w:tbl>
    <w:p w14:paraId="2ED2A987" w14:textId="4629C0C3" w:rsidR="00407605" w:rsidRPr="00521A4E" w:rsidRDefault="00407605" w:rsidP="00F364B7">
      <w:pPr>
        <w:spacing w:before="240"/>
        <w:jc w:val="both"/>
        <w:rPr>
          <w:rFonts w:cs="Arial"/>
          <w:szCs w:val="20"/>
        </w:rPr>
      </w:pPr>
      <w:r w:rsidRPr="00521A4E">
        <w:rPr>
          <w:rFonts w:cs="Arial"/>
          <w:szCs w:val="20"/>
        </w:rPr>
        <w:lastRenderedPageBreak/>
        <w:t>The extract below from the specifications TS 38.306</w:t>
      </w:r>
      <w:r w:rsidR="00AF1BFC" w:rsidRPr="00521A4E">
        <w:rPr>
          <w:rFonts w:cs="Arial"/>
          <w:szCs w:val="20"/>
        </w:rPr>
        <w:t xml:space="preserve"> </w:t>
      </w:r>
      <w:r w:rsidR="000A2CB0" w:rsidRPr="00521A4E">
        <w:rPr>
          <w:rFonts w:cs="Arial"/>
          <w:szCs w:val="20"/>
        </w:rPr>
        <w:fldChar w:fldCharType="begin"/>
      </w:r>
      <w:r w:rsidR="000A2CB0" w:rsidRPr="00521A4E">
        <w:rPr>
          <w:rFonts w:cs="Arial"/>
          <w:szCs w:val="20"/>
        </w:rPr>
        <w:instrText xml:space="preserve"> REF _Ref86962361 \r \h </w:instrText>
      </w:r>
      <w:r w:rsidR="000A2CB0" w:rsidRPr="00521A4E">
        <w:rPr>
          <w:rFonts w:cs="Arial"/>
          <w:szCs w:val="20"/>
        </w:rPr>
      </w:r>
      <w:r w:rsidR="007E3B07" w:rsidRPr="00521A4E">
        <w:rPr>
          <w:rFonts w:cs="Arial"/>
          <w:szCs w:val="20"/>
        </w:rPr>
        <w:instrText xml:space="preserve"> \* MERGEFORMAT </w:instrText>
      </w:r>
      <w:r w:rsidR="000A2CB0" w:rsidRPr="00521A4E">
        <w:rPr>
          <w:rFonts w:cs="Arial"/>
          <w:szCs w:val="20"/>
        </w:rPr>
        <w:fldChar w:fldCharType="separate"/>
      </w:r>
      <w:r w:rsidR="00F201E9">
        <w:rPr>
          <w:rFonts w:cs="Arial"/>
          <w:szCs w:val="20"/>
        </w:rPr>
        <w:t>[17]</w:t>
      </w:r>
      <w:r w:rsidR="000A2CB0" w:rsidRPr="00521A4E">
        <w:rPr>
          <w:rFonts w:cs="Arial"/>
          <w:szCs w:val="20"/>
        </w:rPr>
        <w:fldChar w:fldCharType="end"/>
      </w:r>
      <w:r w:rsidRPr="00521A4E">
        <w:rPr>
          <w:rFonts w:cs="Arial"/>
          <w:szCs w:val="20"/>
        </w:rPr>
        <w:t>, TS 38.331</w:t>
      </w:r>
      <w:r w:rsidR="00AF1BFC" w:rsidRPr="00521A4E">
        <w:rPr>
          <w:rFonts w:cs="Arial"/>
          <w:szCs w:val="20"/>
        </w:rPr>
        <w:fldChar w:fldCharType="begin"/>
      </w:r>
      <w:r w:rsidR="00AF1BFC" w:rsidRPr="00521A4E">
        <w:rPr>
          <w:rFonts w:cs="Arial"/>
          <w:szCs w:val="20"/>
        </w:rPr>
        <w:instrText xml:space="preserve"> REF _Ref86922828 \r \h </w:instrText>
      </w:r>
      <w:r w:rsidR="00AF1BFC" w:rsidRPr="00521A4E">
        <w:rPr>
          <w:rFonts w:cs="Arial"/>
          <w:szCs w:val="20"/>
        </w:rPr>
      </w:r>
      <w:r w:rsidR="007E3B07" w:rsidRPr="00521A4E">
        <w:rPr>
          <w:rFonts w:cs="Arial"/>
          <w:szCs w:val="20"/>
        </w:rPr>
        <w:instrText xml:space="preserve"> \* MERGEFORMAT </w:instrText>
      </w:r>
      <w:r w:rsidR="00AF1BFC" w:rsidRPr="00521A4E">
        <w:rPr>
          <w:rFonts w:cs="Arial"/>
          <w:szCs w:val="20"/>
        </w:rPr>
        <w:fldChar w:fldCharType="separate"/>
      </w:r>
      <w:r w:rsidR="00F201E9">
        <w:rPr>
          <w:rFonts w:cs="Arial"/>
          <w:szCs w:val="20"/>
        </w:rPr>
        <w:t>[14]</w:t>
      </w:r>
      <w:r w:rsidR="00AF1BFC" w:rsidRPr="00521A4E">
        <w:rPr>
          <w:rFonts w:cs="Arial"/>
          <w:szCs w:val="20"/>
        </w:rPr>
        <w:fldChar w:fldCharType="end"/>
      </w:r>
      <w:r w:rsidRPr="00521A4E">
        <w:rPr>
          <w:rFonts w:cs="Arial"/>
          <w:szCs w:val="20"/>
        </w:rPr>
        <w:t xml:space="preserve">, TS 38.213 </w:t>
      </w:r>
      <w:r w:rsidR="00AF1BFC" w:rsidRPr="00521A4E">
        <w:rPr>
          <w:rFonts w:cs="Arial"/>
          <w:szCs w:val="20"/>
        </w:rPr>
        <w:fldChar w:fldCharType="begin"/>
      </w:r>
      <w:r w:rsidR="00AF1BFC" w:rsidRPr="00521A4E">
        <w:rPr>
          <w:rFonts w:cs="Arial"/>
          <w:szCs w:val="20"/>
        </w:rPr>
        <w:instrText xml:space="preserve"> REF _Ref71662548 \r \h </w:instrText>
      </w:r>
      <w:r w:rsidR="00AF1BFC" w:rsidRPr="00521A4E">
        <w:rPr>
          <w:rFonts w:cs="Arial"/>
          <w:szCs w:val="20"/>
        </w:rPr>
      </w:r>
      <w:r w:rsidR="007E3B07" w:rsidRPr="00521A4E">
        <w:rPr>
          <w:rFonts w:cs="Arial"/>
          <w:szCs w:val="20"/>
        </w:rPr>
        <w:instrText xml:space="preserve"> \* MERGEFORMAT </w:instrText>
      </w:r>
      <w:r w:rsidR="00AF1BFC" w:rsidRPr="00521A4E">
        <w:rPr>
          <w:rFonts w:cs="Arial"/>
          <w:szCs w:val="20"/>
        </w:rPr>
        <w:fldChar w:fldCharType="separate"/>
      </w:r>
      <w:r w:rsidR="00F201E9">
        <w:rPr>
          <w:rFonts w:cs="Arial"/>
          <w:szCs w:val="20"/>
        </w:rPr>
        <w:t>[7]</w:t>
      </w:r>
      <w:r w:rsidR="00AF1BFC" w:rsidRPr="00521A4E">
        <w:rPr>
          <w:rFonts w:cs="Arial"/>
          <w:szCs w:val="20"/>
        </w:rPr>
        <w:fldChar w:fldCharType="end"/>
      </w:r>
      <w:r w:rsidRPr="00521A4E">
        <w:rPr>
          <w:rFonts w:cs="Arial"/>
          <w:szCs w:val="20"/>
        </w:rPr>
        <w:t xml:space="preserve"> shows the upper layer parameters related to the directional collision handling in Rel-16 TEI (Inter-band CA). First, if the capability simultaneousRXTXInterBand CA is not present, the UE/IAB-MT can report the half-DuplexTDD-CA-SameSCS-r16 capability to the donor-CU. After reporting the support of half-DuplexTDD-CA-SameSCS-r16 capability, the UE/IAB-MT can be provided with the RRC parameter directionalCollsionHandling-16 and apply the resolution rules specified in TS 38.213</w:t>
      </w:r>
      <w:r w:rsidR="00AF1BFC" w:rsidRPr="00521A4E">
        <w:rPr>
          <w:rFonts w:cs="Arial"/>
          <w:szCs w:val="20"/>
        </w:rPr>
        <w:t xml:space="preserve"> </w:t>
      </w:r>
      <w:r w:rsidR="00AF1BFC" w:rsidRPr="00521A4E">
        <w:rPr>
          <w:rFonts w:cs="Arial"/>
          <w:szCs w:val="20"/>
        </w:rPr>
        <w:fldChar w:fldCharType="begin"/>
      </w:r>
      <w:r w:rsidR="00AF1BFC" w:rsidRPr="00521A4E">
        <w:rPr>
          <w:rFonts w:cs="Arial"/>
          <w:szCs w:val="20"/>
        </w:rPr>
        <w:instrText xml:space="preserve"> REF _Ref71662548 \r \h </w:instrText>
      </w:r>
      <w:r w:rsidR="00AF1BFC" w:rsidRPr="00521A4E">
        <w:rPr>
          <w:rFonts w:cs="Arial"/>
          <w:szCs w:val="20"/>
        </w:rPr>
      </w:r>
      <w:r w:rsidR="007E3B07" w:rsidRPr="00521A4E">
        <w:rPr>
          <w:rFonts w:cs="Arial"/>
          <w:szCs w:val="20"/>
        </w:rPr>
        <w:instrText xml:space="preserve"> \* MERGEFORMAT </w:instrText>
      </w:r>
      <w:r w:rsidR="00AF1BFC" w:rsidRPr="00521A4E">
        <w:rPr>
          <w:rFonts w:cs="Arial"/>
          <w:szCs w:val="20"/>
        </w:rPr>
        <w:fldChar w:fldCharType="separate"/>
      </w:r>
      <w:r w:rsidR="00F201E9">
        <w:rPr>
          <w:rFonts w:cs="Arial"/>
          <w:szCs w:val="20"/>
        </w:rPr>
        <w:t>[7]</w:t>
      </w:r>
      <w:r w:rsidR="00AF1BFC" w:rsidRPr="00521A4E">
        <w:rPr>
          <w:rFonts w:cs="Arial"/>
          <w:szCs w:val="20"/>
        </w:rPr>
        <w:fldChar w:fldCharType="end"/>
      </w:r>
      <w:r w:rsidRPr="00521A4E">
        <w:rPr>
          <w:rFonts w:cs="Arial"/>
          <w:szCs w:val="20"/>
        </w:rPr>
        <w:t>.</w:t>
      </w:r>
    </w:p>
    <w:tbl>
      <w:tblPr>
        <w:tblStyle w:val="TableGrid"/>
        <w:tblW w:w="0" w:type="auto"/>
        <w:tblLook w:val="04A0" w:firstRow="1" w:lastRow="0" w:firstColumn="1" w:lastColumn="0" w:noHBand="0" w:noVBand="1"/>
      </w:tblPr>
      <w:tblGrid>
        <w:gridCol w:w="9629"/>
      </w:tblGrid>
      <w:tr w:rsidR="00407605" w:rsidRPr="00521A4E" w14:paraId="691E4A23" w14:textId="77777777" w:rsidTr="00DC049A">
        <w:tc>
          <w:tcPr>
            <w:tcW w:w="9629" w:type="dxa"/>
          </w:tcPr>
          <w:p w14:paraId="1AF769CB" w14:textId="624CC740" w:rsidR="000A2CB0" w:rsidRPr="00F364B7" w:rsidRDefault="00407605" w:rsidP="007E3B07">
            <w:pPr>
              <w:tabs>
                <w:tab w:val="left" w:pos="720"/>
              </w:tabs>
              <w:spacing w:line="240" w:lineRule="auto"/>
              <w:contextualSpacing/>
              <w:jc w:val="both"/>
              <w:rPr>
                <w:szCs w:val="20"/>
              </w:rPr>
            </w:pPr>
            <w:r w:rsidRPr="00521A4E">
              <w:rPr>
                <w:sz w:val="20"/>
                <w:szCs w:val="20"/>
              </w:rPr>
              <w:t>Extract from TS 38.306</w:t>
            </w:r>
            <w:r w:rsidR="00AF1BFC" w:rsidRPr="00521A4E">
              <w:rPr>
                <w:sz w:val="20"/>
                <w:szCs w:val="20"/>
              </w:rPr>
              <w:t xml:space="preserve"> </w:t>
            </w:r>
            <w:r w:rsidR="000A2CB0" w:rsidRPr="00521A4E">
              <w:rPr>
                <w:szCs w:val="20"/>
              </w:rPr>
              <w:fldChar w:fldCharType="begin"/>
            </w:r>
            <w:r w:rsidR="000A2CB0" w:rsidRPr="00521A4E">
              <w:rPr>
                <w:sz w:val="20"/>
                <w:szCs w:val="20"/>
              </w:rPr>
              <w:instrText xml:space="preserve"> REF _Ref86962361 \r \h </w:instrText>
            </w:r>
            <w:r w:rsidR="000A2CB0" w:rsidRPr="00521A4E">
              <w:rPr>
                <w:szCs w:val="20"/>
              </w:rPr>
            </w:r>
            <w:r w:rsidR="007E3B07" w:rsidRPr="00521A4E">
              <w:rPr>
                <w:szCs w:val="20"/>
              </w:rPr>
              <w:instrText xml:space="preserve"> \* MERGEFORMAT </w:instrText>
            </w:r>
            <w:r w:rsidR="000A2CB0" w:rsidRPr="00521A4E">
              <w:rPr>
                <w:szCs w:val="20"/>
              </w:rPr>
              <w:fldChar w:fldCharType="separate"/>
            </w:r>
            <w:r w:rsidR="00F201E9">
              <w:rPr>
                <w:sz w:val="20"/>
                <w:szCs w:val="20"/>
              </w:rPr>
              <w:t>[17]</w:t>
            </w:r>
            <w:r w:rsidR="000A2CB0" w:rsidRPr="00521A4E">
              <w:rPr>
                <w:szCs w:val="20"/>
              </w:rPr>
              <w:fldChar w:fldCharType="end"/>
            </w:r>
          </w:p>
          <w:p w14:paraId="3E683B05" w14:textId="77777777" w:rsidR="00407605" w:rsidRPr="00521A4E" w:rsidRDefault="00407605" w:rsidP="007E3B07">
            <w:pPr>
              <w:pStyle w:val="TAL"/>
              <w:jc w:val="both"/>
              <w:rPr>
                <w:b/>
                <w:bCs/>
                <w:i/>
                <w:iCs/>
                <w:sz w:val="20"/>
                <w:szCs w:val="20"/>
                <w:lang w:val="en-US"/>
              </w:rPr>
            </w:pPr>
            <w:r w:rsidRPr="00521A4E">
              <w:rPr>
                <w:b/>
                <w:bCs/>
                <w:i/>
                <w:iCs/>
                <w:sz w:val="20"/>
                <w:szCs w:val="20"/>
                <w:lang w:val="en-US"/>
              </w:rPr>
              <w:t>half-DuplexTDD-CA-SameSCS-r16</w:t>
            </w:r>
          </w:p>
          <w:p w14:paraId="3FACF420" w14:textId="77777777" w:rsidR="00407605" w:rsidRPr="00521A4E" w:rsidRDefault="00407605" w:rsidP="00F068F2">
            <w:pPr>
              <w:spacing w:line="240" w:lineRule="auto"/>
              <w:contextualSpacing/>
              <w:jc w:val="both"/>
              <w:rPr>
                <w:rFonts w:cs="Arial"/>
                <w:color w:val="000000"/>
                <w:sz w:val="20"/>
                <w:szCs w:val="20"/>
              </w:rPr>
            </w:pPr>
            <w:r w:rsidRPr="00521A4E">
              <w:rPr>
                <w:bCs/>
                <w:iCs/>
                <w:sz w:val="20"/>
                <w:szCs w:val="20"/>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21A4E">
              <w:rPr>
                <w:bCs/>
                <w:i/>
                <w:iCs/>
                <w:sz w:val="20"/>
                <w:szCs w:val="20"/>
                <w:highlight w:val="red"/>
              </w:rPr>
              <w:t>simultaneousRxTxInterBandCA</w:t>
            </w:r>
            <w:r w:rsidRPr="00521A4E">
              <w:rPr>
                <w:bCs/>
                <w:iCs/>
                <w:sz w:val="20"/>
                <w:szCs w:val="20"/>
              </w:rPr>
              <w:t xml:space="preserve"> is not present for band combinations involving mix of intra-band TDD CA and inter-band TDD CA</w:t>
            </w:r>
          </w:p>
        </w:tc>
      </w:tr>
    </w:tbl>
    <w:p w14:paraId="4A0F0ABD" w14:textId="77777777" w:rsidR="00407605" w:rsidRPr="00521A4E" w:rsidRDefault="00407605" w:rsidP="007E3B07">
      <w:pPr>
        <w:spacing w:before="240"/>
        <w:jc w:val="both"/>
        <w:rPr>
          <w:rFonts w:cs="Arial"/>
          <w:szCs w:val="20"/>
        </w:rPr>
      </w:pPr>
    </w:p>
    <w:tbl>
      <w:tblPr>
        <w:tblStyle w:val="TableGrid"/>
        <w:tblW w:w="0" w:type="auto"/>
        <w:tblLook w:val="04A0" w:firstRow="1" w:lastRow="0" w:firstColumn="1" w:lastColumn="0" w:noHBand="0" w:noVBand="1"/>
      </w:tblPr>
      <w:tblGrid>
        <w:gridCol w:w="9629"/>
      </w:tblGrid>
      <w:tr w:rsidR="00407605" w:rsidRPr="00521A4E" w14:paraId="1DD3B655" w14:textId="77777777" w:rsidTr="00DC049A">
        <w:tc>
          <w:tcPr>
            <w:tcW w:w="9629" w:type="dxa"/>
          </w:tcPr>
          <w:p w14:paraId="3E1BCF53" w14:textId="20EDC4F7" w:rsidR="00407605" w:rsidRPr="00521A4E" w:rsidRDefault="00407605" w:rsidP="007E3B07">
            <w:pPr>
              <w:tabs>
                <w:tab w:val="left" w:pos="720"/>
              </w:tabs>
              <w:spacing w:line="240" w:lineRule="auto"/>
              <w:contextualSpacing/>
              <w:jc w:val="both"/>
              <w:rPr>
                <w:rFonts w:cs="Arial"/>
                <w:b/>
                <w:bCs/>
                <w:color w:val="000000"/>
                <w:sz w:val="20"/>
                <w:szCs w:val="20"/>
              </w:rPr>
            </w:pPr>
            <w:r w:rsidRPr="00521A4E">
              <w:rPr>
                <w:sz w:val="20"/>
                <w:szCs w:val="20"/>
              </w:rPr>
              <w:t>Extract from TS 38.331</w:t>
            </w:r>
            <w:r w:rsidR="00AF1BFC" w:rsidRPr="00521A4E">
              <w:rPr>
                <w:sz w:val="20"/>
                <w:szCs w:val="20"/>
              </w:rPr>
              <w:t xml:space="preserve"> </w:t>
            </w:r>
            <w:r w:rsidR="00AF1BFC" w:rsidRPr="00521A4E">
              <w:rPr>
                <w:szCs w:val="20"/>
              </w:rPr>
              <w:fldChar w:fldCharType="begin"/>
            </w:r>
            <w:r w:rsidR="00AF1BFC" w:rsidRPr="00521A4E">
              <w:rPr>
                <w:sz w:val="20"/>
                <w:szCs w:val="20"/>
              </w:rPr>
              <w:instrText xml:space="preserve"> REF _Ref86922828 \r \h </w:instrText>
            </w:r>
            <w:r w:rsidR="00AF1BFC" w:rsidRPr="00521A4E">
              <w:rPr>
                <w:szCs w:val="20"/>
              </w:rPr>
            </w:r>
            <w:r w:rsidR="007E3B07" w:rsidRPr="00521A4E">
              <w:rPr>
                <w:szCs w:val="20"/>
              </w:rPr>
              <w:instrText xml:space="preserve"> \* MERGEFORMAT </w:instrText>
            </w:r>
            <w:r w:rsidR="00AF1BFC" w:rsidRPr="00521A4E">
              <w:rPr>
                <w:szCs w:val="20"/>
              </w:rPr>
              <w:fldChar w:fldCharType="separate"/>
            </w:r>
            <w:r w:rsidR="00F201E9">
              <w:rPr>
                <w:sz w:val="20"/>
                <w:szCs w:val="20"/>
              </w:rPr>
              <w:t>[14]</w:t>
            </w:r>
            <w:r w:rsidR="00AF1BFC" w:rsidRPr="00521A4E">
              <w:rPr>
                <w:szCs w:val="20"/>
              </w:rPr>
              <w:fldChar w:fldCharType="end"/>
            </w:r>
          </w:p>
          <w:p w14:paraId="4BED74C0" w14:textId="77777777" w:rsidR="00407605" w:rsidRPr="00521A4E" w:rsidRDefault="00407605" w:rsidP="007E3B07">
            <w:pPr>
              <w:pStyle w:val="TAL"/>
              <w:jc w:val="both"/>
              <w:rPr>
                <w:b/>
                <w:i/>
                <w:sz w:val="20"/>
                <w:szCs w:val="20"/>
                <w:lang w:val="en-US" w:eastAsia="sv-SE"/>
              </w:rPr>
            </w:pPr>
            <w:r w:rsidRPr="00521A4E">
              <w:rPr>
                <w:b/>
                <w:i/>
                <w:sz w:val="20"/>
                <w:szCs w:val="20"/>
                <w:highlight w:val="red"/>
                <w:lang w:val="en-US" w:eastAsia="sv-SE"/>
              </w:rPr>
              <w:t>directionalCollisionHandling</w:t>
            </w:r>
          </w:p>
          <w:p w14:paraId="6FA4BC2B" w14:textId="77777777" w:rsidR="00407605" w:rsidRPr="00521A4E" w:rsidRDefault="00407605" w:rsidP="007E3B07">
            <w:pPr>
              <w:spacing w:line="240" w:lineRule="auto"/>
              <w:contextualSpacing/>
              <w:jc w:val="both"/>
              <w:rPr>
                <w:rFonts w:cs="Arial"/>
                <w:color w:val="000000"/>
                <w:sz w:val="20"/>
                <w:szCs w:val="20"/>
              </w:rPr>
            </w:pPr>
            <w:r w:rsidRPr="00521A4E">
              <w:rPr>
                <w:sz w:val="20"/>
                <w:szCs w:val="20"/>
                <w:lang w:eastAsia="sv-SE"/>
              </w:rPr>
              <w:t>Indicates that this serving cell is using 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bl>
    <w:p w14:paraId="5E06A655" w14:textId="77777777" w:rsidR="00407605" w:rsidRPr="00521A4E" w:rsidRDefault="00407605" w:rsidP="007E3B07">
      <w:pPr>
        <w:spacing w:before="240"/>
        <w:jc w:val="both"/>
        <w:rPr>
          <w:rFonts w:cs="Arial"/>
          <w:szCs w:val="20"/>
        </w:rPr>
      </w:pPr>
    </w:p>
    <w:tbl>
      <w:tblPr>
        <w:tblStyle w:val="TableGrid"/>
        <w:tblW w:w="0" w:type="auto"/>
        <w:tblLook w:val="04A0" w:firstRow="1" w:lastRow="0" w:firstColumn="1" w:lastColumn="0" w:noHBand="0" w:noVBand="1"/>
      </w:tblPr>
      <w:tblGrid>
        <w:gridCol w:w="9629"/>
      </w:tblGrid>
      <w:tr w:rsidR="00407605" w:rsidRPr="00521A4E" w14:paraId="7C30E598" w14:textId="77777777" w:rsidTr="00DC049A">
        <w:tc>
          <w:tcPr>
            <w:tcW w:w="9629" w:type="dxa"/>
          </w:tcPr>
          <w:p w14:paraId="4027E159" w14:textId="7EF03391" w:rsidR="00407605" w:rsidRPr="00521A4E" w:rsidRDefault="00407605" w:rsidP="007E3B07">
            <w:pPr>
              <w:tabs>
                <w:tab w:val="left" w:pos="720"/>
              </w:tabs>
              <w:spacing w:line="240" w:lineRule="auto"/>
              <w:contextualSpacing/>
              <w:jc w:val="both"/>
              <w:rPr>
                <w:rFonts w:cs="Arial"/>
                <w:b/>
                <w:bCs/>
                <w:color w:val="000000"/>
                <w:sz w:val="20"/>
                <w:szCs w:val="20"/>
              </w:rPr>
            </w:pPr>
            <w:r w:rsidRPr="00521A4E">
              <w:t>Extract from TS 38.213</w:t>
            </w:r>
            <w:r w:rsidR="00AF1BFC" w:rsidRPr="00521A4E">
              <w:t xml:space="preserve"> </w:t>
            </w:r>
            <w:r w:rsidR="00AF1BFC" w:rsidRPr="00521A4E">
              <w:fldChar w:fldCharType="begin"/>
            </w:r>
            <w:r w:rsidR="00AF1BFC" w:rsidRPr="00521A4E">
              <w:instrText xml:space="preserve"> REF _Ref71662548 \r \h </w:instrText>
            </w:r>
            <w:r w:rsidR="007E3B07" w:rsidRPr="00521A4E">
              <w:instrText xml:space="preserve"> \* MERGEFORMAT </w:instrText>
            </w:r>
            <w:r w:rsidR="00AF1BFC" w:rsidRPr="00521A4E">
              <w:fldChar w:fldCharType="separate"/>
            </w:r>
            <w:r w:rsidR="00F201E9">
              <w:t>[7]</w:t>
            </w:r>
            <w:r w:rsidR="00AF1BFC" w:rsidRPr="00521A4E">
              <w:fldChar w:fldCharType="end"/>
            </w:r>
            <w:r w:rsidRPr="00521A4E">
              <w:t>, clause 11.1</w:t>
            </w:r>
          </w:p>
          <w:p w14:paraId="54FCDE56" w14:textId="77777777" w:rsidR="00407605" w:rsidRPr="00521A4E" w:rsidRDefault="00407605" w:rsidP="007E3B07">
            <w:pPr>
              <w:jc w:val="both"/>
              <w:rPr>
                <w:rFonts w:cs="Arial"/>
                <w:sz w:val="20"/>
                <w:szCs w:val="20"/>
              </w:rPr>
            </w:pPr>
            <w:r w:rsidRPr="00521A4E">
              <w:rPr>
                <w:rFonts w:cs="Arial"/>
                <w:sz w:val="20"/>
                <w:szCs w:val="20"/>
              </w:rPr>
              <w:t xml:space="preserve">If a UE </w:t>
            </w:r>
          </w:p>
          <w:p w14:paraId="03EA5C44" w14:textId="77777777" w:rsidR="00407605" w:rsidRPr="00521A4E" w:rsidRDefault="00407605" w:rsidP="007E3B07">
            <w:pPr>
              <w:pStyle w:val="B1"/>
              <w:rPr>
                <w:rFonts w:ascii="Arial" w:hAnsi="Arial" w:cs="Arial"/>
                <w:sz w:val="20"/>
                <w:szCs w:val="20"/>
              </w:rPr>
            </w:pPr>
            <w:r w:rsidRPr="00521A4E">
              <w:rPr>
                <w:rFonts w:ascii="Arial" w:hAnsi="Arial" w:cs="Arial"/>
                <w:sz w:val="20"/>
                <w:szCs w:val="20"/>
              </w:rPr>
              <w:t>-</w:t>
            </w:r>
            <w:r w:rsidRPr="00521A4E">
              <w:rPr>
                <w:rFonts w:ascii="Arial" w:hAnsi="Arial" w:cs="Arial"/>
                <w:sz w:val="20"/>
                <w:szCs w:val="20"/>
              </w:rPr>
              <w:tab/>
              <w:t xml:space="preserve">is configured with multiple serving cells and is provided with </w:t>
            </w:r>
            <w:r w:rsidRPr="00521A4E">
              <w:rPr>
                <w:rFonts w:ascii="Arial" w:hAnsi="Arial" w:cs="Arial"/>
                <w:i/>
                <w:sz w:val="20"/>
                <w:szCs w:val="20"/>
                <w:highlight w:val="red"/>
              </w:rPr>
              <w:t>directionalCollisionHandling-r16</w:t>
            </w:r>
            <w:r w:rsidRPr="00521A4E">
              <w:rPr>
                <w:rFonts w:ascii="Arial" w:hAnsi="Arial" w:cs="Arial"/>
                <w:i/>
                <w:sz w:val="20"/>
                <w:szCs w:val="20"/>
              </w:rPr>
              <w:t xml:space="preserve"> </w:t>
            </w:r>
            <w:r w:rsidRPr="00521A4E">
              <w:rPr>
                <w:rFonts w:ascii="Arial" w:hAnsi="Arial" w:cs="Arial"/>
                <w:sz w:val="20"/>
                <w:szCs w:val="20"/>
              </w:rPr>
              <w:t xml:space="preserve">= 'enabled' for a set of serving cell(s) among the multiple serving cells, </w:t>
            </w:r>
            <w:r w:rsidRPr="00521A4E">
              <w:rPr>
                <w:rFonts w:ascii="Arial" w:eastAsia="DengXian" w:hAnsi="Arial" w:cs="Arial"/>
                <w:sz w:val="20"/>
                <w:szCs w:val="20"/>
              </w:rPr>
              <w:t>and</w:t>
            </w:r>
          </w:p>
          <w:p w14:paraId="50E25A12" w14:textId="77777777" w:rsidR="00407605" w:rsidRPr="00521A4E" w:rsidRDefault="00407605" w:rsidP="007E3B07">
            <w:pPr>
              <w:pStyle w:val="B1"/>
              <w:rPr>
                <w:rFonts w:ascii="Arial" w:hAnsi="Arial" w:cs="Arial"/>
                <w:sz w:val="20"/>
                <w:szCs w:val="20"/>
              </w:rPr>
            </w:pPr>
            <w:r w:rsidRPr="00521A4E">
              <w:rPr>
                <w:rFonts w:ascii="Arial" w:hAnsi="Arial" w:cs="Arial"/>
                <w:sz w:val="20"/>
                <w:szCs w:val="20"/>
              </w:rPr>
              <w:t>-</w:t>
            </w:r>
            <w:r w:rsidRPr="00521A4E">
              <w:rPr>
                <w:rFonts w:ascii="Arial" w:hAnsi="Arial" w:cs="Arial"/>
                <w:sz w:val="20"/>
                <w:szCs w:val="20"/>
              </w:rPr>
              <w:tab/>
              <w:t xml:space="preserve">indicates support of </w:t>
            </w:r>
            <w:r w:rsidRPr="00521A4E">
              <w:rPr>
                <w:rFonts w:ascii="Arial" w:eastAsia="MS Mincho" w:hAnsi="Arial" w:cs="Arial"/>
                <w:i/>
                <w:iCs/>
                <w:color w:val="000000"/>
                <w:sz w:val="20"/>
                <w:szCs w:val="20"/>
                <w:highlight w:val="red"/>
              </w:rPr>
              <w:t>half-DuplexTDD-CA-SameSCS-r16</w:t>
            </w:r>
            <w:r w:rsidRPr="00521A4E">
              <w:rPr>
                <w:rFonts w:ascii="Arial" w:eastAsia="MS Mincho" w:hAnsi="Arial" w:cs="Arial"/>
                <w:i/>
                <w:iCs/>
                <w:color w:val="000000"/>
                <w:sz w:val="20"/>
                <w:szCs w:val="20"/>
              </w:rPr>
              <w:t xml:space="preserve"> </w:t>
            </w:r>
            <w:r w:rsidRPr="00521A4E">
              <w:rPr>
                <w:rFonts w:ascii="Arial" w:eastAsia="MS Mincho" w:hAnsi="Arial" w:cs="Arial"/>
                <w:color w:val="000000"/>
                <w:sz w:val="20"/>
                <w:szCs w:val="20"/>
              </w:rPr>
              <w:t>capability</w:t>
            </w:r>
            <w:r w:rsidRPr="00521A4E">
              <w:rPr>
                <w:rFonts w:ascii="Arial" w:hAnsi="Arial" w:cs="Arial"/>
                <w:sz w:val="20"/>
                <w:szCs w:val="20"/>
              </w:rPr>
              <w:t xml:space="preserve">, and </w:t>
            </w:r>
          </w:p>
          <w:p w14:paraId="16A63551" w14:textId="77777777" w:rsidR="00407605" w:rsidRPr="00521A4E" w:rsidRDefault="00407605" w:rsidP="007E3B07">
            <w:pPr>
              <w:pStyle w:val="B1"/>
              <w:rPr>
                <w:rFonts w:ascii="Arial" w:eastAsia="DengXian" w:hAnsi="Arial" w:cs="Arial"/>
                <w:sz w:val="20"/>
                <w:szCs w:val="20"/>
              </w:rPr>
            </w:pPr>
            <w:r w:rsidRPr="00521A4E">
              <w:rPr>
                <w:rFonts w:ascii="Arial" w:hAnsi="Arial" w:cs="Arial"/>
                <w:sz w:val="20"/>
                <w:szCs w:val="20"/>
              </w:rPr>
              <w:t>-</w:t>
            </w:r>
            <w:r w:rsidRPr="00521A4E">
              <w:rPr>
                <w:rFonts w:ascii="Arial" w:hAnsi="Arial" w:cs="Arial"/>
                <w:sz w:val="20"/>
                <w:szCs w:val="20"/>
              </w:rPr>
              <w:tab/>
              <w:t xml:space="preserve">is not configured to monitor PDCCH for detection of DCI format 2_0 </w:t>
            </w:r>
            <w:r w:rsidRPr="00521A4E">
              <w:rPr>
                <w:rFonts w:ascii="Arial" w:eastAsia="DengXian" w:hAnsi="Arial" w:cs="Arial"/>
                <w:sz w:val="20"/>
                <w:szCs w:val="20"/>
              </w:rPr>
              <w:t>on any of the multiple serving cells,</w:t>
            </w:r>
          </w:p>
          <w:p w14:paraId="01581090" w14:textId="77777777" w:rsidR="00407605" w:rsidRPr="00521A4E" w:rsidRDefault="00407605" w:rsidP="007E3B07">
            <w:pPr>
              <w:jc w:val="both"/>
            </w:pPr>
            <w:r w:rsidRPr="00521A4E">
              <w:t>- - - - - - - - - - - - - - - - &lt;paragraphs omitted&gt;- - - - - - - - - - - - - - - -</w:t>
            </w:r>
          </w:p>
          <w:p w14:paraId="2A801744" w14:textId="77777777" w:rsidR="00407605" w:rsidRPr="00521A4E" w:rsidRDefault="00407605" w:rsidP="007E3B07">
            <w:pPr>
              <w:pStyle w:val="B1"/>
              <w:ind w:left="0" w:firstLine="0"/>
              <w:rPr>
                <w:rFonts w:ascii="Arial" w:hAnsi="Arial" w:cs="Arial"/>
                <w:sz w:val="20"/>
                <w:szCs w:val="20"/>
              </w:rPr>
            </w:pPr>
            <w:r w:rsidRPr="00521A4E">
              <w:rPr>
                <w:rFonts w:ascii="Arial" w:hAnsi="Arial" w:cs="Arial"/>
                <w:sz w:val="20"/>
                <w:szCs w:val="20"/>
              </w:rPr>
              <w:t>the UE</w:t>
            </w:r>
          </w:p>
          <w:p w14:paraId="0F0952F7" w14:textId="77777777" w:rsidR="00407605" w:rsidRPr="00521A4E" w:rsidRDefault="00407605" w:rsidP="007E3B07">
            <w:pPr>
              <w:jc w:val="both"/>
            </w:pPr>
            <w:r w:rsidRPr="00521A4E">
              <w:t>- - - - - - - - - - - - - - - - &lt;paragraphs omitted&gt;- - - - - - - - - - - - - - - -</w:t>
            </w:r>
          </w:p>
          <w:p w14:paraId="73C082BD" w14:textId="77777777" w:rsidR="00407605" w:rsidRPr="00521A4E" w:rsidRDefault="00407605" w:rsidP="007E3B07">
            <w:pPr>
              <w:pStyle w:val="B1"/>
              <w:rPr>
                <w:rFonts w:ascii="Arial" w:hAnsi="Arial" w:cs="Arial"/>
                <w:sz w:val="20"/>
                <w:szCs w:val="20"/>
              </w:rPr>
            </w:pPr>
            <w:r w:rsidRPr="00521A4E">
              <w:rPr>
                <w:rFonts w:ascii="Arial" w:hAnsi="Arial" w:cs="Arial"/>
                <w:sz w:val="20"/>
                <w:szCs w:val="20"/>
              </w:rPr>
              <w:t>-</w:t>
            </w:r>
            <w:r w:rsidRPr="00521A4E">
              <w:rPr>
                <w:rFonts w:ascii="Arial" w:hAnsi="Arial" w:cs="Arial"/>
                <w:sz w:val="20"/>
                <w:szCs w:val="20"/>
              </w:rPr>
              <w:tab/>
            </w:r>
            <w:r w:rsidRPr="00521A4E">
              <w:rPr>
                <w:rFonts w:ascii="Arial" w:hAnsi="Arial" w:cs="Arial"/>
                <w:sz w:val="20"/>
                <w:szCs w:val="20"/>
                <w:highlight w:val="yellow"/>
              </w:rPr>
              <w:t>does not expect</w:t>
            </w:r>
            <w:r w:rsidRPr="00521A4E">
              <w:rPr>
                <w:rFonts w:ascii="Arial" w:hAnsi="Arial" w:cs="Arial"/>
                <w:sz w:val="20"/>
                <w:szCs w:val="20"/>
              </w:rPr>
              <w:t xml:space="preserve"> to detect a </w:t>
            </w:r>
            <w:r w:rsidRPr="00521A4E">
              <w:rPr>
                <w:rFonts w:ascii="Arial" w:hAnsi="Arial" w:cs="Arial"/>
                <w:sz w:val="20"/>
                <w:szCs w:val="20"/>
                <w:highlight w:val="yellow"/>
              </w:rPr>
              <w:t>first DCI format</w:t>
            </w:r>
            <w:r w:rsidRPr="00521A4E">
              <w:rPr>
                <w:rFonts w:ascii="Arial" w:hAnsi="Arial" w:cs="Arial"/>
                <w:sz w:val="20"/>
                <w:szCs w:val="20"/>
              </w:rPr>
              <w:t xml:space="preserve"> scheduling a transmission or reception on a symbol on a first cell and a s</w:t>
            </w:r>
            <w:r w:rsidRPr="00521A4E">
              <w:rPr>
                <w:rFonts w:ascii="Arial" w:hAnsi="Arial" w:cs="Arial"/>
                <w:sz w:val="20"/>
                <w:szCs w:val="20"/>
                <w:highlight w:val="yellow"/>
              </w:rPr>
              <w:t>econd DCI format</w:t>
            </w:r>
            <w:r w:rsidRPr="00521A4E">
              <w:rPr>
                <w:rFonts w:ascii="Arial" w:hAnsi="Arial" w:cs="Arial"/>
                <w:sz w:val="20"/>
                <w:szCs w:val="20"/>
              </w:rPr>
              <w:t xml:space="preserve"> scheduling a reception or transmission on the symbol on a second cell, respectively.</w:t>
            </w:r>
          </w:p>
          <w:p w14:paraId="3B648D46" w14:textId="77777777" w:rsidR="00407605" w:rsidRPr="00521A4E" w:rsidRDefault="00407605" w:rsidP="007E3B07">
            <w:pPr>
              <w:pStyle w:val="B1"/>
              <w:ind w:left="0" w:firstLine="0"/>
              <w:rPr>
                <w:rFonts w:ascii="Arial" w:hAnsi="Arial" w:cs="Arial"/>
                <w:sz w:val="20"/>
                <w:szCs w:val="20"/>
              </w:rPr>
            </w:pPr>
            <w:r w:rsidRPr="00521A4E">
              <w:rPr>
                <w:rFonts w:ascii="Arial" w:hAnsi="Arial" w:cs="Arial"/>
                <w:sz w:val="20"/>
                <w:szCs w:val="20"/>
              </w:rPr>
              <w:t xml:space="preserve"> </w:t>
            </w:r>
          </w:p>
          <w:p w14:paraId="1B8C9B5C" w14:textId="77777777" w:rsidR="00407605" w:rsidRPr="00521A4E" w:rsidRDefault="00407605" w:rsidP="007E3B07">
            <w:pPr>
              <w:jc w:val="both"/>
              <w:rPr>
                <w:rFonts w:cs="Arial"/>
                <w:sz w:val="20"/>
                <w:szCs w:val="20"/>
              </w:rPr>
            </w:pPr>
            <w:r w:rsidRPr="00521A4E">
              <w:rPr>
                <w:rFonts w:cs="Arial"/>
                <w:sz w:val="20"/>
                <w:szCs w:val="20"/>
              </w:rPr>
              <w:t xml:space="preserve">After the UE applies the procedures described above for directional collision handling within the set of cells that have been configured with </w:t>
            </w:r>
            <w:r w:rsidRPr="00521A4E">
              <w:rPr>
                <w:rFonts w:cs="Arial"/>
                <w:i/>
                <w:iCs/>
                <w:sz w:val="20"/>
                <w:szCs w:val="20"/>
              </w:rPr>
              <w:t>directionalCollisionHandling-r16</w:t>
            </w:r>
            <w:r w:rsidRPr="00521A4E">
              <w:rPr>
                <w:rFonts w:cs="Arial"/>
                <w:sz w:val="20"/>
                <w:szCs w:val="20"/>
              </w:rPr>
              <w:t>, the UE does not expect any directional collision among the serving cells that the UE is not capable of simultaneous transmission and reception.</w:t>
            </w:r>
          </w:p>
        </w:tc>
      </w:tr>
    </w:tbl>
    <w:p w14:paraId="7AE4FBDD" w14:textId="77777777" w:rsidR="00407605" w:rsidRPr="00521A4E" w:rsidRDefault="00407605" w:rsidP="007E3B07">
      <w:pPr>
        <w:spacing w:before="240"/>
        <w:jc w:val="both"/>
        <w:rPr>
          <w:rFonts w:cs="Arial"/>
          <w:szCs w:val="20"/>
        </w:rPr>
      </w:pPr>
      <w:r w:rsidRPr="00521A4E">
        <w:rPr>
          <w:rFonts w:cs="Arial"/>
          <w:szCs w:val="20"/>
        </w:rPr>
        <w:t>Following the Rel-16 directional collision handling framework we propose to introduce the following capabilities for directional collision handling in IAB inter-donor and intra-donor DC scenarios:</w:t>
      </w:r>
    </w:p>
    <w:p w14:paraId="3D9F5308" w14:textId="77777777" w:rsidR="00407605" w:rsidRPr="00521A4E" w:rsidRDefault="00407605" w:rsidP="00F364B7">
      <w:pPr>
        <w:pStyle w:val="Proposal"/>
        <w:tabs>
          <w:tab w:val="clear" w:pos="1872"/>
        </w:tabs>
        <w:ind w:left="1304"/>
        <w:rPr>
          <w:rFonts w:cs="Arial"/>
          <w:szCs w:val="20"/>
        </w:rPr>
      </w:pPr>
      <w:bookmarkStart w:id="230" w:name="_Toc85572128"/>
      <w:bookmarkStart w:id="231" w:name="_Toc85812178"/>
      <w:bookmarkStart w:id="232" w:name="_Toc87042268"/>
      <w:r w:rsidRPr="00521A4E">
        <w:t>For directional collision handling in IAB inter-donor and intra-donor DC scenarios, introduce the following capabilities and RRC parameters</w:t>
      </w:r>
      <w:bookmarkEnd w:id="230"/>
      <w:bookmarkEnd w:id="231"/>
      <w:bookmarkEnd w:id="232"/>
    </w:p>
    <w:p w14:paraId="24413C97" w14:textId="77777777" w:rsidR="00407605" w:rsidRPr="00521A4E" w:rsidRDefault="00407605" w:rsidP="00F364B7">
      <w:pPr>
        <w:pStyle w:val="Proposal"/>
        <w:numPr>
          <w:ilvl w:val="0"/>
          <w:numId w:val="43"/>
        </w:numPr>
        <w:rPr>
          <w:rFonts w:cs="Arial"/>
          <w:szCs w:val="20"/>
        </w:rPr>
      </w:pPr>
      <w:bookmarkStart w:id="233" w:name="_Toc85572129"/>
      <w:bookmarkStart w:id="234" w:name="_Toc85812179"/>
      <w:bookmarkStart w:id="235" w:name="_Toc87042269"/>
      <w:r w:rsidRPr="00521A4E">
        <w:rPr>
          <w:rFonts w:cs="Arial"/>
          <w:szCs w:val="20"/>
        </w:rPr>
        <w:t>simultaneousRXTXIABInterDonorDC capability</w:t>
      </w:r>
      <w:bookmarkEnd w:id="233"/>
      <w:bookmarkEnd w:id="234"/>
      <w:bookmarkEnd w:id="235"/>
    </w:p>
    <w:p w14:paraId="75BE28CC" w14:textId="77777777" w:rsidR="00407605" w:rsidRPr="00521A4E" w:rsidRDefault="00407605" w:rsidP="00F364B7">
      <w:pPr>
        <w:pStyle w:val="Proposal"/>
        <w:numPr>
          <w:ilvl w:val="0"/>
          <w:numId w:val="43"/>
        </w:numPr>
        <w:rPr>
          <w:rFonts w:cs="Arial"/>
          <w:szCs w:val="20"/>
        </w:rPr>
      </w:pPr>
      <w:bookmarkStart w:id="236" w:name="_Toc85572130"/>
      <w:bookmarkStart w:id="237" w:name="_Toc85812180"/>
      <w:bookmarkStart w:id="238" w:name="_Toc87042270"/>
      <w:r w:rsidRPr="00521A4E">
        <w:rPr>
          <w:rFonts w:cs="Arial"/>
          <w:szCs w:val="20"/>
        </w:rPr>
        <w:t>simultaneousRXTXIABIntraDonorDC capability</w:t>
      </w:r>
      <w:bookmarkEnd w:id="236"/>
      <w:bookmarkEnd w:id="237"/>
      <w:bookmarkEnd w:id="238"/>
    </w:p>
    <w:p w14:paraId="1B7A6E56" w14:textId="614DE8E3" w:rsidR="00407605" w:rsidRPr="00F364B7" w:rsidRDefault="00407605" w:rsidP="00F364B7">
      <w:pPr>
        <w:pStyle w:val="Proposal"/>
        <w:numPr>
          <w:ilvl w:val="0"/>
          <w:numId w:val="43"/>
        </w:numPr>
        <w:rPr>
          <w:rFonts w:cs="Arial"/>
          <w:szCs w:val="20"/>
        </w:rPr>
      </w:pPr>
      <w:bookmarkStart w:id="239" w:name="_Toc85572131"/>
      <w:bookmarkStart w:id="240" w:name="_Toc85812181"/>
      <w:bookmarkStart w:id="241" w:name="_Toc87042271"/>
      <w:r w:rsidRPr="00521A4E">
        <w:rPr>
          <w:rFonts w:cs="Arial"/>
          <w:szCs w:val="20"/>
        </w:rPr>
        <w:lastRenderedPageBreak/>
        <w:t>half-DuplexTDD-IABNRDC-r17 capability</w:t>
      </w:r>
      <w:bookmarkEnd w:id="239"/>
      <w:bookmarkEnd w:id="240"/>
      <w:bookmarkEnd w:id="241"/>
    </w:p>
    <w:p w14:paraId="42E78C0B" w14:textId="2C060225" w:rsidR="00407605" w:rsidRPr="00521A4E" w:rsidRDefault="00407605" w:rsidP="007E3B07">
      <w:pPr>
        <w:jc w:val="both"/>
      </w:pPr>
      <w:r w:rsidRPr="00521A4E">
        <w:t xml:space="preserve">Regarding the RRC parameter </w:t>
      </w:r>
      <w:r w:rsidRPr="00521A4E">
        <w:rPr>
          <w:i/>
          <w:iCs/>
        </w:rPr>
        <w:t>directionalCollisionHandling</w:t>
      </w:r>
      <w:r w:rsidRPr="00521A4E">
        <w:t>, the IAB-node may reuse the same parameter from the Rel-16 specification, since it was agreed in RAN1#105e that the Rel-16 CA TDD prioritization rules in case of directional conflict apply to the IAB DC scenarios when they are applicable</w:t>
      </w:r>
      <w:r w:rsidR="00BF5C61" w:rsidRPr="00521A4E">
        <w:t xml:space="preserve"> </w:t>
      </w:r>
      <w:r w:rsidR="00BF5C61" w:rsidRPr="00521A4E">
        <w:fldChar w:fldCharType="begin"/>
      </w:r>
      <w:r w:rsidR="00BF5C61" w:rsidRPr="00521A4E">
        <w:instrText xml:space="preserve"> REF _Ref83892045 \r \h </w:instrText>
      </w:r>
      <w:r w:rsidR="007E3B07" w:rsidRPr="00521A4E">
        <w:instrText xml:space="preserve"> \* MERGEFORMAT </w:instrText>
      </w:r>
      <w:r w:rsidR="00BF5C61" w:rsidRPr="00521A4E">
        <w:fldChar w:fldCharType="separate"/>
      </w:r>
      <w:r w:rsidR="00F201E9">
        <w:t>[10]</w:t>
      </w:r>
      <w:r w:rsidR="00BF5C61" w:rsidRPr="00521A4E">
        <w:fldChar w:fldCharType="end"/>
      </w:r>
      <w:r w:rsidRPr="00521A4E">
        <w:t xml:space="preserve">. </w:t>
      </w:r>
    </w:p>
    <w:tbl>
      <w:tblPr>
        <w:tblStyle w:val="TableGrid"/>
        <w:tblW w:w="0" w:type="auto"/>
        <w:tblLook w:val="04A0" w:firstRow="1" w:lastRow="0" w:firstColumn="1" w:lastColumn="0" w:noHBand="0" w:noVBand="1"/>
      </w:tblPr>
      <w:tblGrid>
        <w:gridCol w:w="9629"/>
      </w:tblGrid>
      <w:tr w:rsidR="00407605" w:rsidRPr="00521A4E" w14:paraId="1FE91A65" w14:textId="77777777" w:rsidTr="00DC049A">
        <w:tc>
          <w:tcPr>
            <w:tcW w:w="9629" w:type="dxa"/>
          </w:tcPr>
          <w:p w14:paraId="47F461AE" w14:textId="77777777" w:rsidR="00407605" w:rsidRPr="00521A4E" w:rsidRDefault="00407605" w:rsidP="007E3B07">
            <w:pPr>
              <w:jc w:val="both"/>
              <w:rPr>
                <w:sz w:val="20"/>
                <w:szCs w:val="20"/>
              </w:rPr>
            </w:pPr>
            <w:r w:rsidRPr="00521A4E">
              <w:rPr>
                <w:b/>
                <w:bCs/>
                <w:sz w:val="20"/>
                <w:szCs w:val="20"/>
                <w:highlight w:val="green"/>
              </w:rPr>
              <w:t>Agreement (RAN1#105e)</w:t>
            </w:r>
          </w:p>
          <w:p w14:paraId="05542855" w14:textId="77777777" w:rsidR="00407605" w:rsidRPr="00521A4E" w:rsidRDefault="00407605" w:rsidP="007E3B07">
            <w:pPr>
              <w:jc w:val="both"/>
              <w:rPr>
                <w:sz w:val="20"/>
                <w:szCs w:val="20"/>
              </w:rPr>
            </w:pPr>
            <w:r w:rsidRPr="00521A4E">
              <w:rPr>
                <w:sz w:val="20"/>
                <w:szCs w:val="20"/>
              </w:rPr>
              <w:t>In case of intra-band inter-carrier dual connectivity for both inter-donor and intra-donor scenarios the following are supported:</w:t>
            </w:r>
          </w:p>
          <w:p w14:paraId="089BE95F" w14:textId="77777777" w:rsidR="00407605" w:rsidRPr="00521A4E" w:rsidRDefault="00407605" w:rsidP="007E3B07">
            <w:pPr>
              <w:numPr>
                <w:ilvl w:val="0"/>
                <w:numId w:val="30"/>
              </w:numPr>
              <w:spacing w:line="256" w:lineRule="auto"/>
              <w:jc w:val="both"/>
              <w:rPr>
                <w:sz w:val="20"/>
                <w:szCs w:val="20"/>
                <w:highlight w:val="yellow"/>
              </w:rPr>
            </w:pPr>
            <w:r w:rsidRPr="00521A4E">
              <w:rPr>
                <w:sz w:val="20"/>
                <w:szCs w:val="20"/>
                <w:highlight w:val="yellow"/>
              </w:rPr>
              <w:t xml:space="preserve">Reusing the Rel-16 CA TDD prioritization rules in case of UL/DL conflict when applicable </w:t>
            </w:r>
          </w:p>
          <w:p w14:paraId="6054A698" w14:textId="77777777" w:rsidR="00407605" w:rsidRPr="00521A4E" w:rsidRDefault="00407605" w:rsidP="007E3B07">
            <w:pPr>
              <w:jc w:val="both"/>
              <w:rPr>
                <w:sz w:val="20"/>
                <w:szCs w:val="20"/>
              </w:rPr>
            </w:pPr>
            <w:r w:rsidRPr="00521A4E">
              <w:rPr>
                <w:sz w:val="20"/>
                <w:szCs w:val="20"/>
              </w:rPr>
              <w:t>FFS: Whether all prioritization rules apply in case of NR-DC</w:t>
            </w:r>
          </w:p>
          <w:p w14:paraId="2A880131" w14:textId="77777777" w:rsidR="00407605" w:rsidRPr="00521A4E" w:rsidRDefault="00407605" w:rsidP="007E3B07">
            <w:pPr>
              <w:jc w:val="both"/>
              <w:rPr>
                <w:sz w:val="20"/>
                <w:szCs w:val="20"/>
              </w:rPr>
            </w:pPr>
            <w:r w:rsidRPr="00521A4E">
              <w:rPr>
                <w:sz w:val="20"/>
                <w:szCs w:val="20"/>
              </w:rPr>
              <w:t>FFS: Need of new prioritization rules in case of NR-DC</w:t>
            </w:r>
          </w:p>
          <w:p w14:paraId="3EA284D3" w14:textId="77777777" w:rsidR="00407605" w:rsidRPr="00521A4E" w:rsidRDefault="00407605" w:rsidP="007E3B07">
            <w:pPr>
              <w:numPr>
                <w:ilvl w:val="0"/>
                <w:numId w:val="31"/>
              </w:numPr>
              <w:spacing w:line="256" w:lineRule="auto"/>
              <w:jc w:val="both"/>
              <w:rPr>
                <w:sz w:val="20"/>
                <w:szCs w:val="20"/>
              </w:rPr>
            </w:pPr>
            <w:r w:rsidRPr="00521A4E">
              <w:rPr>
                <w:sz w:val="20"/>
                <w:szCs w:val="20"/>
              </w:rPr>
              <w:t>Coordinating the IAB-MT’s TDD configurations to avoid conflicts from different parent nodes in case the child IAB-MT does not support simultaneous TX and RX on different carries</w:t>
            </w:r>
          </w:p>
          <w:p w14:paraId="7BCE6C30" w14:textId="77777777" w:rsidR="00407605" w:rsidRPr="00521A4E" w:rsidRDefault="00407605" w:rsidP="007E3B07">
            <w:pPr>
              <w:jc w:val="both"/>
              <w:rPr>
                <w:sz w:val="20"/>
                <w:szCs w:val="20"/>
              </w:rPr>
            </w:pPr>
            <w:r w:rsidRPr="00521A4E">
              <w:rPr>
                <w:sz w:val="20"/>
                <w:szCs w:val="20"/>
              </w:rPr>
              <w:t>FFS: Coordination for scheduling conflicts involving at least DCI Format 2_0 usage (e.g. usage of flexible symbols)</w:t>
            </w:r>
          </w:p>
          <w:p w14:paraId="39196FF7" w14:textId="77777777" w:rsidR="00407605" w:rsidRPr="00521A4E" w:rsidRDefault="00407605" w:rsidP="007E3B07">
            <w:pPr>
              <w:numPr>
                <w:ilvl w:val="0"/>
                <w:numId w:val="32"/>
              </w:numPr>
              <w:spacing w:line="256" w:lineRule="auto"/>
              <w:jc w:val="both"/>
              <w:rPr>
                <w:sz w:val="20"/>
                <w:szCs w:val="20"/>
              </w:rPr>
            </w:pPr>
            <w:r w:rsidRPr="00521A4E">
              <w:rPr>
                <w:sz w:val="20"/>
                <w:szCs w:val="20"/>
              </w:rPr>
              <w:t>Exchanging H/S/NA configurations between parent nodes/donors</w:t>
            </w:r>
          </w:p>
        </w:tc>
      </w:tr>
    </w:tbl>
    <w:p w14:paraId="224B09DF" w14:textId="5DA9E17F" w:rsidR="00407605" w:rsidRPr="00521A4E" w:rsidRDefault="00407605" w:rsidP="00F364B7">
      <w:pPr>
        <w:spacing w:before="240"/>
        <w:jc w:val="both"/>
      </w:pPr>
      <w:r w:rsidRPr="00521A4E">
        <w:t>Alternatively, a new IAB-specific parameter could be introduced, since the prioritization rules from the RAN1#106</w:t>
      </w:r>
      <w:r w:rsidR="00FD09C4" w:rsidRPr="00521A4E">
        <w:t>-</w:t>
      </w:r>
      <w:r w:rsidRPr="00521A4E">
        <w:t>e and RAN1#106bis</w:t>
      </w:r>
      <w:r w:rsidR="00FD09C4" w:rsidRPr="00521A4E">
        <w:t>-</w:t>
      </w:r>
      <w:r w:rsidRPr="00521A4E">
        <w:t xml:space="preserve">e meetings only apply to IAB DC scenarios. </w:t>
      </w:r>
      <w:r w:rsidRPr="00521A4E">
        <w:rPr>
          <w:rFonts w:cs="Arial"/>
          <w:szCs w:val="20"/>
        </w:rPr>
        <w:t xml:space="preserve">Based on the above observations, we propose the following two alternatives to handle the RRC parameter </w:t>
      </w:r>
      <w:r w:rsidRPr="00521A4E">
        <w:rPr>
          <w:rFonts w:cs="Arial"/>
          <w:i/>
          <w:iCs/>
          <w:szCs w:val="20"/>
        </w:rPr>
        <w:t>directionalCollisionHandling</w:t>
      </w:r>
      <w:r w:rsidRPr="00521A4E">
        <w:rPr>
          <w:rFonts w:cs="Arial"/>
          <w:szCs w:val="20"/>
        </w:rPr>
        <w:t xml:space="preserve"> in IAB DC scenarios:</w:t>
      </w:r>
    </w:p>
    <w:p w14:paraId="33C6826F" w14:textId="77777777" w:rsidR="00407605" w:rsidRPr="00521A4E" w:rsidRDefault="00407605" w:rsidP="00F364B7">
      <w:pPr>
        <w:pStyle w:val="Proposal"/>
        <w:tabs>
          <w:tab w:val="clear" w:pos="1872"/>
        </w:tabs>
        <w:ind w:left="1304"/>
        <w:rPr>
          <w:rFonts w:cs="Arial"/>
          <w:szCs w:val="20"/>
        </w:rPr>
      </w:pPr>
      <w:bookmarkStart w:id="242" w:name="_Toc87042272"/>
      <w:r w:rsidRPr="00521A4E">
        <w:t>For directional collision handling in IAB inter-donor and intra-donor DC scenarios, RAN1 decides whether or not a new RRC signal should be introduced:</w:t>
      </w:r>
      <w:bookmarkEnd w:id="242"/>
    </w:p>
    <w:p w14:paraId="6186AEAB" w14:textId="77777777" w:rsidR="00407605" w:rsidRPr="00521A4E" w:rsidRDefault="00407605" w:rsidP="00F364B7">
      <w:pPr>
        <w:pStyle w:val="Proposal"/>
        <w:numPr>
          <w:ilvl w:val="0"/>
          <w:numId w:val="0"/>
        </w:numPr>
        <w:ind w:left="1304"/>
        <w:rPr>
          <w:rFonts w:cs="Arial"/>
          <w:szCs w:val="20"/>
        </w:rPr>
      </w:pPr>
      <w:bookmarkStart w:id="243" w:name="_Toc87042273"/>
      <w:r w:rsidRPr="00521A4E">
        <w:rPr>
          <w:rFonts w:cs="Arial"/>
          <w:szCs w:val="20"/>
        </w:rPr>
        <w:t xml:space="preserve">Alt1: reuse the Rel-16 RRC parameter </w:t>
      </w:r>
      <w:r w:rsidRPr="00521A4E">
        <w:rPr>
          <w:rFonts w:cs="Arial"/>
          <w:i/>
          <w:iCs/>
          <w:szCs w:val="20"/>
        </w:rPr>
        <w:t>directionalCollisionHandling-r17</w:t>
      </w:r>
      <w:bookmarkEnd w:id="243"/>
    </w:p>
    <w:p w14:paraId="06E7C7DE" w14:textId="77777777" w:rsidR="00407605" w:rsidRPr="00521A4E" w:rsidRDefault="00407605" w:rsidP="00F364B7">
      <w:pPr>
        <w:pStyle w:val="Proposal"/>
        <w:numPr>
          <w:ilvl w:val="0"/>
          <w:numId w:val="0"/>
        </w:numPr>
        <w:ind w:left="1304"/>
        <w:rPr>
          <w:rFonts w:cs="Arial"/>
          <w:szCs w:val="20"/>
        </w:rPr>
      </w:pPr>
      <w:bookmarkStart w:id="244" w:name="_Toc87042274"/>
      <w:r w:rsidRPr="00521A4E">
        <w:rPr>
          <w:rFonts w:cs="Arial"/>
          <w:szCs w:val="20"/>
        </w:rPr>
        <w:t xml:space="preserve">Alt2: introduce the new RRC parameter </w:t>
      </w:r>
      <w:r w:rsidRPr="00521A4E">
        <w:rPr>
          <w:rFonts w:cs="Arial"/>
          <w:i/>
          <w:iCs/>
          <w:szCs w:val="20"/>
        </w:rPr>
        <w:t>IABDCdirectionalCollisionHandling-r17</w:t>
      </w:r>
      <w:bookmarkEnd w:id="244"/>
    </w:p>
    <w:p w14:paraId="04EB38CA" w14:textId="77777777" w:rsidR="00407605" w:rsidRPr="00521A4E" w:rsidRDefault="00407605" w:rsidP="00F364B7">
      <w:pPr>
        <w:pStyle w:val="Heading2"/>
        <w:jc w:val="both"/>
        <w:rPr>
          <w:lang w:val="en-US"/>
        </w:rPr>
      </w:pPr>
      <w:r w:rsidRPr="00521A4E">
        <w:rPr>
          <w:lang w:val="en-US"/>
        </w:rPr>
        <w:t>Interpretation of agreements related to frequency domain resource size granularity</w:t>
      </w:r>
    </w:p>
    <w:p w14:paraId="4EEE4625" w14:textId="26C2A3B0" w:rsidR="00407605" w:rsidRPr="00521A4E" w:rsidRDefault="00407605" w:rsidP="007E3B07">
      <w:pPr>
        <w:jc w:val="both"/>
        <w:rPr>
          <w:lang w:eastAsia="ja-JP"/>
        </w:rPr>
      </w:pPr>
      <w:r w:rsidRPr="00521A4E">
        <w:rPr>
          <w:lang w:eastAsia="ja-JP"/>
        </w:rPr>
        <w:t>In RAN1 #105-e, the following agreement was made</w:t>
      </w:r>
      <w:r w:rsidR="00BF5C61" w:rsidRPr="00521A4E">
        <w:rPr>
          <w:lang w:eastAsia="ja-JP"/>
        </w:rPr>
        <w:t xml:space="preserve"> </w:t>
      </w:r>
      <w:r w:rsidR="00BF5C61" w:rsidRPr="00521A4E">
        <w:rPr>
          <w:lang w:eastAsia="ja-JP"/>
        </w:rPr>
        <w:fldChar w:fldCharType="begin"/>
      </w:r>
      <w:r w:rsidR="00BF5C61" w:rsidRPr="00521A4E">
        <w:rPr>
          <w:lang w:eastAsia="ja-JP"/>
        </w:rPr>
        <w:instrText xml:space="preserve"> REF _Ref83892045 \r \h </w:instrText>
      </w:r>
      <w:r w:rsidR="00BF5C61" w:rsidRPr="00521A4E">
        <w:rPr>
          <w:lang w:eastAsia="ja-JP"/>
        </w:rPr>
      </w:r>
      <w:r w:rsidR="007E3B07" w:rsidRPr="00521A4E">
        <w:rPr>
          <w:lang w:eastAsia="ja-JP"/>
        </w:rPr>
        <w:instrText xml:space="preserve"> \* MERGEFORMAT </w:instrText>
      </w:r>
      <w:r w:rsidR="00BF5C61" w:rsidRPr="00521A4E">
        <w:rPr>
          <w:lang w:eastAsia="ja-JP"/>
        </w:rPr>
        <w:fldChar w:fldCharType="separate"/>
      </w:r>
      <w:r w:rsidR="00F201E9">
        <w:rPr>
          <w:lang w:eastAsia="ja-JP"/>
        </w:rPr>
        <w:t>[10]</w:t>
      </w:r>
      <w:r w:rsidR="00BF5C61" w:rsidRPr="00521A4E">
        <w:rPr>
          <w:lang w:eastAsia="ja-JP"/>
        </w:rPr>
        <w:fldChar w:fldCharType="end"/>
      </w:r>
      <w:r w:rsidRPr="00521A4E">
        <w:rPr>
          <w:lang w:eastAsia="ja-JP"/>
        </w:rPr>
        <w:t>:</w:t>
      </w:r>
    </w:p>
    <w:tbl>
      <w:tblPr>
        <w:tblStyle w:val="TableGrid"/>
        <w:tblW w:w="0" w:type="auto"/>
        <w:tblLook w:val="04A0" w:firstRow="1" w:lastRow="0" w:firstColumn="1" w:lastColumn="0" w:noHBand="0" w:noVBand="1"/>
      </w:tblPr>
      <w:tblGrid>
        <w:gridCol w:w="9629"/>
      </w:tblGrid>
      <w:tr w:rsidR="00407605" w:rsidRPr="00521A4E" w14:paraId="148057A5" w14:textId="77777777" w:rsidTr="00DC049A">
        <w:tc>
          <w:tcPr>
            <w:tcW w:w="9629" w:type="dxa"/>
          </w:tcPr>
          <w:p w14:paraId="2605CC17" w14:textId="77777777" w:rsidR="00407605" w:rsidRPr="00521A4E" w:rsidRDefault="00407605" w:rsidP="007E3B07">
            <w:pPr>
              <w:jc w:val="both"/>
              <w:rPr>
                <w:rFonts w:ascii="Times" w:eastAsia="SimSun" w:hAnsi="Times" w:cs="Times"/>
                <w:sz w:val="20"/>
                <w:szCs w:val="20"/>
              </w:rPr>
            </w:pPr>
            <w:r w:rsidRPr="00521A4E">
              <w:rPr>
                <w:rFonts w:ascii="Times" w:hAnsi="Times" w:cs="Times"/>
                <w:b/>
                <w:bCs/>
                <w:color w:val="000000"/>
                <w:sz w:val="20"/>
                <w:szCs w:val="20"/>
                <w:highlight w:val="green"/>
                <w:shd w:val="clear" w:color="auto" w:fill="FFFF00"/>
              </w:rPr>
              <w:t>Agreement</w:t>
            </w:r>
          </w:p>
          <w:p w14:paraId="47734F3E" w14:textId="77777777" w:rsidR="00407605" w:rsidRPr="00521A4E" w:rsidRDefault="00407605" w:rsidP="007E3B07">
            <w:pPr>
              <w:jc w:val="both"/>
              <w:rPr>
                <w:rFonts w:ascii="Times" w:eastAsia="SimSun" w:hAnsi="Times" w:cs="Times"/>
                <w:sz w:val="20"/>
                <w:szCs w:val="20"/>
              </w:rPr>
            </w:pPr>
            <w:r w:rsidRPr="00521A4E">
              <w:rPr>
                <w:rFonts w:ascii="Times" w:hAnsi="Times" w:cs="Times"/>
                <w:bCs/>
                <w:sz w:val="20"/>
                <w:szCs w:val="20"/>
              </w:rPr>
              <w:t>The minimum resource size for configuring the frequency domain granularity is a set of N RBs:</w:t>
            </w:r>
          </w:p>
          <w:p w14:paraId="2DB3E2E7" w14:textId="77777777" w:rsidR="00407605" w:rsidRPr="00521A4E" w:rsidRDefault="00407605" w:rsidP="007E3B07">
            <w:pPr>
              <w:numPr>
                <w:ilvl w:val="0"/>
                <w:numId w:val="41"/>
              </w:numPr>
              <w:shd w:val="clear" w:color="auto" w:fill="FFFFFF"/>
              <w:spacing w:after="0" w:line="240" w:lineRule="auto"/>
              <w:jc w:val="both"/>
              <w:rPr>
                <w:rFonts w:ascii="Times" w:eastAsia="Times New Roman" w:hAnsi="Times" w:cs="Times"/>
                <w:bCs/>
                <w:color w:val="000000"/>
                <w:sz w:val="20"/>
                <w:szCs w:val="20"/>
              </w:rPr>
            </w:pPr>
            <w:r w:rsidRPr="00521A4E">
              <w:rPr>
                <w:rFonts w:ascii="Times" w:eastAsia="Times New Roman" w:hAnsi="Times" w:cs="Times"/>
                <w:bCs/>
                <w:color w:val="000000"/>
                <w:sz w:val="20"/>
                <w:szCs w:val="20"/>
              </w:rPr>
              <w:t>Candidate values for N: {4, 8, 16, other values TBD}</w:t>
            </w:r>
          </w:p>
          <w:p w14:paraId="6914888A" w14:textId="77777777" w:rsidR="00407605" w:rsidRPr="00521A4E" w:rsidRDefault="00407605" w:rsidP="007E3B07">
            <w:pPr>
              <w:numPr>
                <w:ilvl w:val="0"/>
                <w:numId w:val="41"/>
              </w:numPr>
              <w:shd w:val="clear" w:color="auto" w:fill="FFFFFF"/>
              <w:spacing w:after="0" w:line="240" w:lineRule="auto"/>
              <w:jc w:val="both"/>
              <w:rPr>
                <w:rFonts w:ascii="Times" w:eastAsia="Times New Roman" w:hAnsi="Times" w:cs="Times"/>
                <w:bCs/>
                <w:color w:val="000000"/>
                <w:sz w:val="20"/>
                <w:szCs w:val="20"/>
              </w:rPr>
            </w:pPr>
            <w:r w:rsidRPr="00521A4E">
              <w:rPr>
                <w:rFonts w:ascii="Times" w:eastAsia="Times New Roman" w:hAnsi="Times" w:cs="Times"/>
                <w:bCs/>
                <w:color w:val="000000"/>
                <w:sz w:val="20"/>
                <w:szCs w:val="20"/>
              </w:rPr>
              <w:t>N is</w:t>
            </w:r>
            <w:r w:rsidRPr="00521A4E">
              <w:rPr>
                <w:rFonts w:ascii="Times" w:eastAsia="Times New Roman" w:hAnsi="Times" w:cs="Times"/>
                <w:color w:val="000000"/>
                <w:sz w:val="20"/>
                <w:szCs w:val="20"/>
              </w:rPr>
              <w:t> </w:t>
            </w:r>
            <w:r w:rsidRPr="00521A4E">
              <w:rPr>
                <w:rFonts w:ascii="Times" w:eastAsia="Times New Roman" w:hAnsi="Times" w:cs="Times"/>
                <w:bCs/>
                <w:color w:val="000000"/>
                <w:sz w:val="20"/>
                <w:szCs w:val="20"/>
              </w:rPr>
              <w:t>at least the # PRBs that are corresponding to the MT’s # PRBs of an RBG).</w:t>
            </w:r>
          </w:p>
          <w:p w14:paraId="53C7010E" w14:textId="77777777" w:rsidR="00407605" w:rsidRPr="00521A4E" w:rsidRDefault="00407605" w:rsidP="007E3B07">
            <w:pPr>
              <w:numPr>
                <w:ilvl w:val="0"/>
                <w:numId w:val="41"/>
              </w:numPr>
              <w:shd w:val="clear" w:color="auto" w:fill="FFFFFF"/>
              <w:spacing w:line="240" w:lineRule="auto"/>
              <w:jc w:val="both"/>
              <w:rPr>
                <w:rFonts w:ascii="Times" w:eastAsia="Times New Roman" w:hAnsi="Times" w:cs="Times"/>
                <w:bCs/>
                <w:color w:val="000000"/>
                <w:sz w:val="20"/>
                <w:szCs w:val="20"/>
              </w:rPr>
            </w:pPr>
            <w:r w:rsidRPr="00521A4E">
              <w:rPr>
                <w:rFonts w:ascii="Times" w:eastAsia="Times New Roman" w:hAnsi="Times" w:cs="Times"/>
                <w:bCs/>
                <w:color w:val="000000"/>
                <w:sz w:val="20"/>
                <w:szCs w:val="20"/>
              </w:rPr>
              <w:t>FFS: Scaling or configuration of N based on system BW or size of IAB-MT BWP</w:t>
            </w:r>
          </w:p>
        </w:tc>
      </w:tr>
    </w:tbl>
    <w:p w14:paraId="1AAF1B74" w14:textId="77777777" w:rsidR="00407605" w:rsidRPr="00521A4E" w:rsidRDefault="00407605" w:rsidP="007E3B07">
      <w:pPr>
        <w:spacing w:before="240"/>
        <w:jc w:val="both"/>
        <w:rPr>
          <w:rFonts w:cs="Arial"/>
          <w:szCs w:val="20"/>
        </w:rPr>
      </w:pPr>
      <w:r w:rsidRPr="00521A4E">
        <w:t xml:space="preserve">Following the agreement, there have been a discussion regarding the interpretation of </w:t>
      </w:r>
      <w:r w:rsidRPr="00521A4E">
        <w:rPr>
          <w:i/>
          <w:iCs/>
        </w:rPr>
        <w:t>“</w:t>
      </w:r>
      <w:r w:rsidRPr="00521A4E">
        <w:rPr>
          <w:rFonts w:ascii="Times" w:eastAsia="Times New Roman" w:hAnsi="Times" w:cs="Times"/>
          <w:bCs/>
          <w:i/>
          <w:iCs/>
          <w:color w:val="000000"/>
          <w:szCs w:val="20"/>
        </w:rPr>
        <w:t>N is</w:t>
      </w:r>
      <w:r w:rsidRPr="00521A4E">
        <w:rPr>
          <w:rFonts w:ascii="Times" w:eastAsia="Times New Roman" w:hAnsi="Times" w:cs="Times"/>
          <w:i/>
          <w:iCs/>
          <w:color w:val="000000"/>
          <w:szCs w:val="20"/>
        </w:rPr>
        <w:t> </w:t>
      </w:r>
      <w:r w:rsidRPr="00521A4E">
        <w:rPr>
          <w:rFonts w:ascii="Times" w:eastAsia="Times New Roman" w:hAnsi="Times" w:cs="Times"/>
          <w:bCs/>
          <w:i/>
          <w:iCs/>
          <w:color w:val="000000"/>
          <w:szCs w:val="20"/>
        </w:rPr>
        <w:t>at least the # PRBs that are corresponding to the MT’s # PRBs of an RBG.</w:t>
      </w:r>
      <w:r w:rsidRPr="00521A4E">
        <w:rPr>
          <w:i/>
          <w:iCs/>
        </w:rPr>
        <w:t>”</w:t>
      </w:r>
      <w:r w:rsidRPr="00521A4E">
        <w:t xml:space="preserve"> It is possible to interpret that part of the agreement in two </w:t>
      </w:r>
      <w:r w:rsidRPr="00521A4E">
        <w:rPr>
          <w:rFonts w:cs="Arial"/>
          <w:szCs w:val="20"/>
        </w:rPr>
        <w:t>different ways:</w:t>
      </w:r>
    </w:p>
    <w:p w14:paraId="4ABCE1B2" w14:textId="77777777" w:rsidR="00407605" w:rsidRPr="00521A4E" w:rsidRDefault="00407605" w:rsidP="007E3B07">
      <w:pPr>
        <w:pStyle w:val="ListParagraph"/>
        <w:numPr>
          <w:ilvl w:val="0"/>
          <w:numId w:val="42"/>
        </w:numPr>
        <w:jc w:val="both"/>
        <w:rPr>
          <w:rFonts w:ascii="Arial" w:hAnsi="Arial" w:cs="Arial"/>
          <w:sz w:val="20"/>
          <w:szCs w:val="20"/>
          <w:lang w:val="en-US"/>
        </w:rPr>
      </w:pPr>
      <w:r w:rsidRPr="00521A4E">
        <w:rPr>
          <w:rFonts w:ascii="Arial" w:hAnsi="Arial" w:cs="Arial"/>
          <w:sz w:val="20"/>
          <w:szCs w:val="20"/>
          <w:lang w:val="en-US"/>
        </w:rPr>
        <w:t xml:space="preserve">N is configured independently of RBG size and is constrained such that N is at least the # PRBs that are corresponding to the MT’s </w:t>
      </w:r>
      <w:r w:rsidRPr="00521A4E">
        <w:rPr>
          <w:rFonts w:ascii="Arial" w:hAnsi="Arial" w:cs="Arial"/>
          <w:i/>
          <w:iCs/>
          <w:sz w:val="20"/>
          <w:szCs w:val="20"/>
          <w:lang w:val="en-US"/>
        </w:rPr>
        <w:t>maximum</w:t>
      </w:r>
      <w:r w:rsidRPr="00521A4E">
        <w:rPr>
          <w:rFonts w:ascii="Arial" w:hAnsi="Arial" w:cs="Arial"/>
          <w:sz w:val="20"/>
          <w:szCs w:val="20"/>
          <w:lang w:val="en-US"/>
        </w:rPr>
        <w:t xml:space="preserve"> # PRBs of an RBG. In this case, values lower than 16 would not be allowed.</w:t>
      </w:r>
    </w:p>
    <w:p w14:paraId="4B2B381D" w14:textId="77777777" w:rsidR="00407605" w:rsidRPr="00521A4E" w:rsidRDefault="00407605" w:rsidP="007E3B07">
      <w:pPr>
        <w:pStyle w:val="ListParagraph"/>
        <w:numPr>
          <w:ilvl w:val="0"/>
          <w:numId w:val="42"/>
        </w:numPr>
        <w:spacing w:after="240"/>
        <w:jc w:val="both"/>
        <w:rPr>
          <w:rFonts w:ascii="Arial" w:hAnsi="Arial" w:cs="Arial"/>
          <w:sz w:val="20"/>
          <w:szCs w:val="20"/>
          <w:lang w:val="en-US"/>
        </w:rPr>
      </w:pPr>
      <w:r w:rsidRPr="00521A4E">
        <w:rPr>
          <w:rFonts w:ascii="Arial" w:hAnsi="Arial" w:cs="Arial"/>
          <w:sz w:val="20"/>
          <w:szCs w:val="20"/>
          <w:lang w:val="en-US"/>
        </w:rPr>
        <w:t xml:space="preserve">N is configured dependently of RBG size and is constrained such that </w:t>
      </w:r>
      <w:r w:rsidRPr="00521A4E">
        <w:rPr>
          <w:rFonts w:ascii="Arial" w:eastAsia="Times New Roman" w:hAnsi="Arial" w:cs="Arial"/>
          <w:bCs/>
          <w:color w:val="000000"/>
          <w:sz w:val="20"/>
          <w:szCs w:val="20"/>
          <w:lang w:val="en-US"/>
        </w:rPr>
        <w:t>N is</w:t>
      </w:r>
      <w:r w:rsidRPr="00521A4E">
        <w:rPr>
          <w:rFonts w:ascii="Arial" w:eastAsia="Times New Roman" w:hAnsi="Arial" w:cs="Arial"/>
          <w:color w:val="000000"/>
          <w:sz w:val="20"/>
          <w:szCs w:val="20"/>
          <w:lang w:val="en-US"/>
        </w:rPr>
        <w:t> </w:t>
      </w:r>
      <w:r w:rsidRPr="00521A4E">
        <w:rPr>
          <w:rFonts w:ascii="Arial" w:eastAsia="Times New Roman" w:hAnsi="Arial" w:cs="Arial"/>
          <w:bCs/>
          <w:color w:val="000000"/>
          <w:sz w:val="20"/>
          <w:szCs w:val="20"/>
          <w:lang w:val="en-US"/>
        </w:rPr>
        <w:t xml:space="preserve">at least the # PRBs that are corresponding to the MT’s </w:t>
      </w:r>
      <w:r w:rsidRPr="00521A4E">
        <w:rPr>
          <w:rFonts w:ascii="Arial" w:eastAsia="Times New Roman" w:hAnsi="Arial" w:cs="Arial"/>
          <w:bCs/>
          <w:i/>
          <w:iCs/>
          <w:color w:val="000000"/>
          <w:sz w:val="20"/>
          <w:szCs w:val="20"/>
          <w:lang w:val="en-US"/>
        </w:rPr>
        <w:t>configured</w:t>
      </w:r>
      <w:r w:rsidRPr="00521A4E">
        <w:rPr>
          <w:rFonts w:ascii="Arial" w:eastAsia="Times New Roman" w:hAnsi="Arial" w:cs="Arial"/>
          <w:bCs/>
          <w:color w:val="000000"/>
          <w:sz w:val="20"/>
          <w:szCs w:val="20"/>
          <w:lang w:val="en-US"/>
        </w:rPr>
        <w:t xml:space="preserve"> # PRBs of an RBG.</w:t>
      </w:r>
    </w:p>
    <w:p w14:paraId="54149131" w14:textId="77777777" w:rsidR="00407605" w:rsidRPr="00521A4E" w:rsidRDefault="00407605" w:rsidP="007E3B07">
      <w:pPr>
        <w:spacing w:after="240"/>
        <w:jc w:val="both"/>
        <w:rPr>
          <w:rFonts w:cs="Arial"/>
          <w:szCs w:val="20"/>
        </w:rPr>
      </w:pPr>
      <w:r w:rsidRPr="00521A4E">
        <w:rPr>
          <w:rFonts w:cs="Arial"/>
          <w:szCs w:val="20"/>
        </w:rPr>
        <w:lastRenderedPageBreak/>
        <w:t>The only reasonable interpretation is, of course, 2, since, for 1, values below 16 would be useless and that contradicts the first sub-bullet of the agreement.</w:t>
      </w:r>
    </w:p>
    <w:p w14:paraId="3412EAC7" w14:textId="77777777" w:rsidR="00407605" w:rsidRPr="00521A4E" w:rsidRDefault="00407605" w:rsidP="007E3B07">
      <w:pPr>
        <w:jc w:val="both"/>
        <w:rPr>
          <w:rFonts w:cs="Arial"/>
          <w:szCs w:val="20"/>
        </w:rPr>
      </w:pPr>
      <w:r w:rsidRPr="00521A4E">
        <w:rPr>
          <w:rFonts w:cs="Arial"/>
          <w:szCs w:val="20"/>
        </w:rPr>
        <w:t>In addition, some companies attempt to make a third interpretation:</w:t>
      </w:r>
    </w:p>
    <w:p w14:paraId="54C5B64C" w14:textId="77777777" w:rsidR="00407605" w:rsidRPr="00521A4E" w:rsidRDefault="00407605" w:rsidP="007E3B07">
      <w:pPr>
        <w:pStyle w:val="ListParagraph"/>
        <w:numPr>
          <w:ilvl w:val="0"/>
          <w:numId w:val="42"/>
        </w:numPr>
        <w:spacing w:after="240"/>
        <w:jc w:val="both"/>
        <w:rPr>
          <w:rFonts w:ascii="Arial" w:hAnsi="Arial" w:cs="Arial"/>
          <w:sz w:val="20"/>
          <w:szCs w:val="20"/>
          <w:lang w:val="en-US"/>
        </w:rPr>
      </w:pPr>
      <w:r w:rsidRPr="00521A4E">
        <w:rPr>
          <w:rFonts w:ascii="Arial" w:hAnsi="Arial" w:cs="Arial"/>
          <w:sz w:val="20"/>
          <w:szCs w:val="20"/>
          <w:lang w:val="en-US"/>
        </w:rPr>
        <w:t xml:space="preserve">N is configured independently of RBG size and is constrained such that N is at least the # PRBs that are corresponding to the MT’s </w:t>
      </w:r>
      <w:r w:rsidRPr="00521A4E">
        <w:rPr>
          <w:rFonts w:ascii="Arial" w:hAnsi="Arial" w:cs="Arial"/>
          <w:i/>
          <w:iCs/>
          <w:sz w:val="20"/>
          <w:szCs w:val="20"/>
          <w:lang w:val="en-US"/>
        </w:rPr>
        <w:t>minimum</w:t>
      </w:r>
      <w:r w:rsidRPr="00521A4E">
        <w:rPr>
          <w:rFonts w:ascii="Arial" w:hAnsi="Arial" w:cs="Arial"/>
          <w:sz w:val="20"/>
          <w:szCs w:val="20"/>
          <w:lang w:val="en-US"/>
        </w:rPr>
        <w:t xml:space="preserve"> # PRBs of an RBG.</w:t>
      </w:r>
    </w:p>
    <w:p w14:paraId="3FEF71ED" w14:textId="77777777" w:rsidR="00407605" w:rsidRPr="00521A4E" w:rsidRDefault="00407605" w:rsidP="007E3B07">
      <w:pPr>
        <w:jc w:val="both"/>
      </w:pPr>
      <w:r w:rsidRPr="00521A4E">
        <w:rPr>
          <w:rFonts w:cs="Arial"/>
          <w:szCs w:val="20"/>
        </w:rPr>
        <w:t>We do not share this interpretation since there is nothing in the agreement stating that it is only valid for configurations with minimum RBG sizes</w:t>
      </w:r>
      <w:r w:rsidRPr="00521A4E">
        <w:t>.</w:t>
      </w:r>
    </w:p>
    <w:p w14:paraId="5FF275A6" w14:textId="77777777" w:rsidR="00407605" w:rsidRPr="00521A4E" w:rsidRDefault="00407605" w:rsidP="007E3B07">
      <w:pPr>
        <w:jc w:val="both"/>
      </w:pPr>
      <w:r w:rsidRPr="00521A4E">
        <w:t xml:space="preserve">In order to clarify the interpretation of the above agreement, we propose that the above agreement is complemented with a clarification that N is at least the # PRBs that are corresponding to the MT’s </w:t>
      </w:r>
      <w:r w:rsidRPr="00521A4E">
        <w:rPr>
          <w:i/>
          <w:iCs/>
        </w:rPr>
        <w:t>configured</w:t>
      </w:r>
      <w:r w:rsidRPr="00521A4E">
        <w:t xml:space="preserve"> RBG size.</w:t>
      </w:r>
    </w:p>
    <w:p w14:paraId="7398585D" w14:textId="77777777" w:rsidR="00407605" w:rsidRPr="00521A4E" w:rsidRDefault="00407605" w:rsidP="007E3B07">
      <w:pPr>
        <w:pStyle w:val="Proposal"/>
        <w:tabs>
          <w:tab w:val="clear" w:pos="1872"/>
        </w:tabs>
        <w:spacing w:after="120"/>
        <w:ind w:left="1701" w:hanging="1701"/>
      </w:pPr>
      <w:bookmarkStart w:id="245" w:name="_Toc85812185"/>
      <w:bookmarkStart w:id="246" w:name="_Toc87042275"/>
      <w:r w:rsidRPr="00521A4E">
        <w:t>Include the following for the value range of P02 in the RRC parameters for eIAB:</w:t>
      </w:r>
      <w:bookmarkEnd w:id="245"/>
      <w:bookmarkEnd w:id="246"/>
    </w:p>
    <w:p w14:paraId="303C367A" w14:textId="037B0B1B" w:rsidR="00FD6673" w:rsidRPr="00521A4E" w:rsidRDefault="00407605" w:rsidP="00F364B7">
      <w:pPr>
        <w:pStyle w:val="Proposal"/>
        <w:numPr>
          <w:ilvl w:val="0"/>
          <w:numId w:val="0"/>
        </w:numPr>
        <w:ind w:left="1701"/>
      </w:pPr>
      <w:bookmarkStart w:id="247" w:name="_Toc85812186"/>
      <w:bookmarkStart w:id="248" w:name="_Toc87042276"/>
      <w:r w:rsidRPr="00521A4E">
        <w:t xml:space="preserve">N is at least the # PRBs corresponding to the MT’s </w:t>
      </w:r>
      <w:r w:rsidRPr="00521A4E">
        <w:rPr>
          <w:color w:val="FF0000"/>
        </w:rPr>
        <w:t>configured</w:t>
      </w:r>
      <w:r w:rsidRPr="00521A4E">
        <w:t xml:space="preserve"> # PRB of an RBG.</w:t>
      </w:r>
      <w:bookmarkEnd w:id="247"/>
      <w:bookmarkEnd w:id="248"/>
      <w:r w:rsidRPr="00521A4E">
        <w:t xml:space="preserve"> </w:t>
      </w:r>
    </w:p>
    <w:p w14:paraId="652DDAB1" w14:textId="2359F82B" w:rsidR="00C01F33" w:rsidRPr="00521A4E" w:rsidRDefault="00C01F33" w:rsidP="007E3B07">
      <w:pPr>
        <w:pStyle w:val="Heading1"/>
        <w:jc w:val="both"/>
        <w:rPr>
          <w:lang w:val="en-US"/>
        </w:rPr>
      </w:pPr>
      <w:r w:rsidRPr="00521A4E">
        <w:rPr>
          <w:lang w:val="en-US"/>
        </w:rPr>
        <w:t>Conclusion</w:t>
      </w:r>
    </w:p>
    <w:p w14:paraId="2B2BB6BC" w14:textId="77777777" w:rsidR="008E065E" w:rsidRPr="00521A4E" w:rsidRDefault="008E065E" w:rsidP="007E3B07">
      <w:pPr>
        <w:pStyle w:val="BodyText"/>
        <w:rPr>
          <w:b/>
          <w:bCs/>
        </w:rPr>
      </w:pPr>
      <w:r w:rsidRPr="00521A4E">
        <w:t xml:space="preserve">In </w:t>
      </w:r>
      <w:r w:rsidR="007729A2" w:rsidRPr="00521A4E">
        <w:t xml:space="preserve">the previous </w:t>
      </w:r>
      <w:r w:rsidRPr="00521A4E">
        <w:t>section</w:t>
      </w:r>
      <w:r w:rsidR="007729A2" w:rsidRPr="00521A4E">
        <w:t>s</w:t>
      </w:r>
      <w:r w:rsidRPr="00521A4E">
        <w:t xml:space="preserve"> we made the following observations:</w:t>
      </w:r>
      <w:r w:rsidR="00C93814" w:rsidRPr="00521A4E">
        <w:rPr>
          <w:b/>
          <w:bCs/>
        </w:rPr>
        <w:t xml:space="preserve"> </w:t>
      </w:r>
    </w:p>
    <w:p w14:paraId="6AF8E982" w14:textId="31ED0E54" w:rsidR="00F201E9" w:rsidRDefault="006F6582" w:rsidP="00F201E9">
      <w:pPr>
        <w:pStyle w:val="TableofFigures"/>
        <w:tabs>
          <w:tab w:val="right" w:leader="dot" w:pos="9629"/>
        </w:tabs>
        <w:jc w:val="both"/>
        <w:rPr>
          <w:rFonts w:asciiTheme="minorHAnsi" w:eastAsiaTheme="minorEastAsia" w:hAnsiTheme="minorHAnsi"/>
          <w:b w:val="0"/>
          <w:noProof/>
          <w:sz w:val="22"/>
          <w:lang w:val="sv-SE" w:eastAsia="sv-SE"/>
        </w:rPr>
      </w:pPr>
      <w:r w:rsidRPr="00521A4E">
        <w:rPr>
          <w:b w:val="0"/>
        </w:rPr>
        <w:fldChar w:fldCharType="begin"/>
      </w:r>
      <w:r w:rsidRPr="00521A4E">
        <w:rPr>
          <w:b w:val="0"/>
          <w:bCs/>
        </w:rPr>
        <w:instrText xml:space="preserve"> TOC \f O \n \h \z \t "Observation" \c </w:instrText>
      </w:r>
      <w:r w:rsidRPr="00521A4E">
        <w:rPr>
          <w:b w:val="0"/>
        </w:rPr>
        <w:fldChar w:fldCharType="separate"/>
      </w:r>
      <w:hyperlink w:anchor="_Toc87042218" w:history="1">
        <w:r w:rsidR="00F201E9" w:rsidRPr="0056305E">
          <w:rPr>
            <w:rStyle w:val="Hyperlink"/>
            <w:noProof/>
          </w:rPr>
          <w:t>Observation 1</w:t>
        </w:r>
        <w:r w:rsidR="00F201E9">
          <w:rPr>
            <w:rFonts w:asciiTheme="minorHAnsi" w:eastAsiaTheme="minorEastAsia" w:hAnsiTheme="minorHAnsi"/>
            <w:b w:val="0"/>
            <w:noProof/>
            <w:sz w:val="22"/>
            <w:lang w:val="sv-SE" w:eastAsia="sv-SE"/>
          </w:rPr>
          <w:tab/>
        </w:r>
        <w:r w:rsidR="00F201E9" w:rsidRPr="0056305E">
          <w:rPr>
            <w:rStyle w:val="Hyperlink"/>
            <w:noProof/>
          </w:rPr>
          <w:t>The H/S/NA frequency resource alignment between IAB-MT and IAB-DU means no limitation in how resources that are available to the IAB-DU are used for scheduling UEs.</w:t>
        </w:r>
      </w:hyperlink>
    </w:p>
    <w:p w14:paraId="6A230FF1" w14:textId="5EB3CDAA"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19" w:history="1">
        <w:r w:rsidRPr="0056305E">
          <w:rPr>
            <w:rStyle w:val="Hyperlink"/>
            <w:noProof/>
          </w:rPr>
          <w:t>Observation 2</w:t>
        </w:r>
        <w:r>
          <w:rPr>
            <w:rFonts w:asciiTheme="minorHAnsi" w:eastAsiaTheme="minorEastAsia" w:hAnsiTheme="minorHAnsi"/>
            <w:b w:val="0"/>
            <w:noProof/>
            <w:sz w:val="22"/>
            <w:lang w:val="sv-SE" w:eastAsia="sv-SE"/>
          </w:rPr>
          <w:tab/>
        </w:r>
        <w:r w:rsidRPr="0056305E">
          <w:rPr>
            <w:rStyle w:val="Hyperlink"/>
            <w:noProof/>
          </w:rPr>
          <w:t>In order to meet earlier agreements, the candidate values for N must depend on the IAB-MT’s RBG configuration.</w:t>
        </w:r>
      </w:hyperlink>
    </w:p>
    <w:p w14:paraId="5E278A28" w14:textId="38ACAFCD"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0" w:history="1">
        <w:r w:rsidRPr="0056305E">
          <w:rPr>
            <w:rStyle w:val="Hyperlink"/>
            <w:noProof/>
          </w:rPr>
          <w:t>Observation 3</w:t>
        </w:r>
        <w:r>
          <w:rPr>
            <w:rFonts w:asciiTheme="minorHAnsi" w:eastAsiaTheme="minorEastAsia" w:hAnsiTheme="minorHAnsi"/>
            <w:b w:val="0"/>
            <w:noProof/>
            <w:sz w:val="22"/>
            <w:lang w:val="sv-SE" w:eastAsia="sv-SE"/>
          </w:rPr>
          <w:tab/>
        </w:r>
        <w:r w:rsidRPr="0056305E">
          <w:rPr>
            <w:rStyle w:val="Hyperlink"/>
            <w:noProof/>
          </w:rPr>
          <w:t>For IAB-DU resources that are outside the IAB-MT’s active BWPs, there is no need to coordinate IAB-MT and IAB-DU resources by providing RB set configuration or H/S/NA configuration.</w:t>
        </w:r>
      </w:hyperlink>
    </w:p>
    <w:p w14:paraId="2DEC192B" w14:textId="7EC606B7"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1" w:history="1">
        <w:r w:rsidRPr="0056305E">
          <w:rPr>
            <w:rStyle w:val="Hyperlink"/>
            <w:noProof/>
          </w:rPr>
          <w:t>Observation 4</w:t>
        </w:r>
        <w:r>
          <w:rPr>
            <w:rFonts w:asciiTheme="minorHAnsi" w:eastAsiaTheme="minorEastAsia" w:hAnsiTheme="minorHAnsi"/>
            <w:b w:val="0"/>
            <w:noProof/>
            <w:sz w:val="22"/>
            <w:lang w:val="sv-SE" w:eastAsia="sv-SE"/>
          </w:rPr>
          <w:tab/>
        </w:r>
        <w:r w:rsidRPr="0056305E">
          <w:rPr>
            <w:rStyle w:val="Hyperlink"/>
            <w:noProof/>
          </w:rPr>
          <w:t>For RB sets which are non-overlapping with the IAB-MT’s active BWP, it is not necessary for the IAB-DU to adhere the configured frequency domain H/S/NA.</w:t>
        </w:r>
      </w:hyperlink>
    </w:p>
    <w:p w14:paraId="558E4B08" w14:textId="2D908B4A"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2" w:history="1">
        <w:r w:rsidRPr="0056305E">
          <w:rPr>
            <w:rStyle w:val="Hyperlink"/>
            <w:noProof/>
          </w:rPr>
          <w:t>Observation 5</w:t>
        </w:r>
        <w:r>
          <w:rPr>
            <w:rFonts w:asciiTheme="minorHAnsi" w:eastAsiaTheme="minorEastAsia" w:hAnsiTheme="minorHAnsi"/>
            <w:b w:val="0"/>
            <w:noProof/>
            <w:sz w:val="22"/>
            <w:lang w:val="sv-SE" w:eastAsia="sv-SE"/>
          </w:rPr>
          <w:tab/>
        </w:r>
        <w:r w:rsidRPr="0056305E">
          <w:rPr>
            <w:rStyle w:val="Hyperlink"/>
            <w:noProof/>
          </w:rPr>
          <w:t>The parent DU does not know about the carrier bandwidth of the IAB-DU cell, and hence, the frequency domain mapping of the IAB-DU RB sets cannot be based on that.</w:t>
        </w:r>
      </w:hyperlink>
    </w:p>
    <w:p w14:paraId="4EE14587" w14:textId="31468D03"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3" w:history="1">
        <w:r w:rsidRPr="0056305E">
          <w:rPr>
            <w:rStyle w:val="Hyperlink"/>
            <w:noProof/>
          </w:rPr>
          <w:t>Observation 6</w:t>
        </w:r>
        <w:r>
          <w:rPr>
            <w:rFonts w:asciiTheme="minorHAnsi" w:eastAsiaTheme="minorEastAsia" w:hAnsiTheme="minorHAnsi"/>
            <w:b w:val="0"/>
            <w:noProof/>
            <w:sz w:val="22"/>
            <w:lang w:val="sv-SE" w:eastAsia="sv-SE"/>
          </w:rPr>
          <w:tab/>
        </w:r>
        <w:r w:rsidRPr="0056305E">
          <w:rPr>
            <w:rStyle w:val="Hyperlink"/>
            <w:noProof/>
          </w:rPr>
          <w:t>The following alternatives are feasible for frequency domain H/S/NA configuration:</w:t>
        </w:r>
      </w:hyperlink>
    </w:p>
    <w:p w14:paraId="33351ACB" w14:textId="5F3E4A7D"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4" w:history="1">
        <w:r w:rsidRPr="0056305E">
          <w:rPr>
            <w:rStyle w:val="Hyperlink"/>
            <w:noProof/>
          </w:rPr>
          <w:t>Alt. 1: RB set configuration is based on IAB-DU carrier and the parent node is made aware of the IAB-DU carrier.</w:t>
        </w:r>
      </w:hyperlink>
    </w:p>
    <w:p w14:paraId="1751B3EB" w14:textId="225F8B18"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5" w:history="1">
        <w:r w:rsidRPr="0056305E">
          <w:rPr>
            <w:rStyle w:val="Hyperlink"/>
            <w:noProof/>
          </w:rPr>
          <w:t>Alt. 2: RB set configuration is based on the union of all IAB-MT’s BWPs.</w:t>
        </w:r>
      </w:hyperlink>
    </w:p>
    <w:p w14:paraId="346FED81" w14:textId="19077686"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6" w:history="1">
        <w:r w:rsidRPr="0056305E">
          <w:rPr>
            <w:rStyle w:val="Hyperlink"/>
            <w:noProof/>
          </w:rPr>
          <w:t>Alt. 3: Per-BWP frequency domain H/S/NA configuration, including the RB set configuration.</w:t>
        </w:r>
      </w:hyperlink>
    </w:p>
    <w:p w14:paraId="44F72B01" w14:textId="0B3429B3"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7" w:history="1">
        <w:r w:rsidRPr="0056305E">
          <w:rPr>
            <w:rStyle w:val="Hyperlink"/>
            <w:noProof/>
          </w:rPr>
          <w:t>Observation 7</w:t>
        </w:r>
        <w:r>
          <w:rPr>
            <w:rFonts w:asciiTheme="minorHAnsi" w:eastAsiaTheme="minorEastAsia" w:hAnsiTheme="minorHAnsi"/>
            <w:b w:val="0"/>
            <w:noProof/>
            <w:sz w:val="22"/>
            <w:lang w:val="sv-SE" w:eastAsia="sv-SE"/>
          </w:rPr>
          <w:tab/>
        </w:r>
        <w:r w:rsidRPr="0056305E">
          <w:rPr>
            <w:rStyle w:val="Hyperlink"/>
            <w:noProof/>
          </w:rPr>
          <w:t xml:space="preserve">By introducing both DL and UL power control, the </w:t>
        </w:r>
        <w:r w:rsidRPr="0056305E">
          <w:rPr>
            <w:rStyle w:val="Hyperlink"/>
            <w:rFonts w:cs="Arial"/>
            <w:noProof/>
          </w:rPr>
          <w:t>leakage (in analogy to ACLR) between resources used by IAB-MT and IAB-DU</w:t>
        </w:r>
        <w:r w:rsidRPr="0056305E">
          <w:rPr>
            <w:rStyle w:val="Hyperlink"/>
            <w:noProof/>
          </w:rPr>
          <w:t xml:space="preserve"> is variable and may hence require extensive dynamic signaling unless handled internally in the IAB-DU.</w:t>
        </w:r>
      </w:hyperlink>
    </w:p>
    <w:p w14:paraId="5939A798" w14:textId="3DC0ECB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28" w:history="1">
        <w:r w:rsidRPr="0056305E">
          <w:rPr>
            <w:rStyle w:val="Hyperlink"/>
            <w:rFonts w:cs="Arial"/>
            <w:noProof/>
          </w:rPr>
          <w:t>Observation 8</w:t>
        </w:r>
        <w:r>
          <w:rPr>
            <w:rFonts w:asciiTheme="minorHAnsi" w:eastAsiaTheme="minorEastAsia" w:hAnsiTheme="minorHAnsi"/>
            <w:b w:val="0"/>
            <w:noProof/>
            <w:sz w:val="22"/>
            <w:lang w:val="sv-SE" w:eastAsia="sv-SE"/>
          </w:rPr>
          <w:tab/>
        </w:r>
        <w:r w:rsidRPr="0056305E">
          <w:rPr>
            <w:rStyle w:val="Hyperlink"/>
            <w:noProof/>
          </w:rPr>
          <w:t>In the current DCI format 2_5, the number of availability indication can be limited to 14 IAB-DU cells, of maximum 512 IAB-DU cells.</w:t>
        </w:r>
      </w:hyperlink>
    </w:p>
    <w:p w14:paraId="245D8491" w14:textId="13DF5115" w:rsidR="006E1C82" w:rsidRPr="00521A4E" w:rsidRDefault="006F6582" w:rsidP="00F201E9">
      <w:pPr>
        <w:pStyle w:val="BodyText"/>
        <w:rPr>
          <w:b/>
          <w:bCs/>
        </w:rPr>
      </w:pPr>
      <w:r w:rsidRPr="00521A4E">
        <w:rPr>
          <w:b/>
        </w:rPr>
        <w:fldChar w:fldCharType="end"/>
      </w:r>
    </w:p>
    <w:p w14:paraId="32B380F3" w14:textId="77777777" w:rsidR="006E1C82" w:rsidRPr="00521A4E" w:rsidRDefault="008E065E" w:rsidP="00F201E9">
      <w:pPr>
        <w:pStyle w:val="BodyText"/>
      </w:pPr>
      <w:r w:rsidRPr="00521A4E">
        <w:t xml:space="preserve">Based on the discussion in </w:t>
      </w:r>
      <w:r w:rsidR="007729A2" w:rsidRPr="00521A4E">
        <w:t xml:space="preserve">the previous </w:t>
      </w:r>
      <w:r w:rsidRPr="00521A4E">
        <w:t>section</w:t>
      </w:r>
      <w:r w:rsidR="007729A2" w:rsidRPr="00521A4E">
        <w:t>s</w:t>
      </w:r>
      <w:r w:rsidRPr="00521A4E">
        <w:t xml:space="preserve"> we propose the following:</w:t>
      </w:r>
    </w:p>
    <w:p w14:paraId="343A8AD1" w14:textId="3D3E9950" w:rsidR="00F201E9" w:rsidRDefault="006E1C82" w:rsidP="00F201E9">
      <w:pPr>
        <w:pStyle w:val="TableofFigures"/>
        <w:tabs>
          <w:tab w:val="right" w:leader="dot" w:pos="9629"/>
        </w:tabs>
        <w:jc w:val="both"/>
        <w:rPr>
          <w:rFonts w:asciiTheme="minorHAnsi" w:eastAsiaTheme="minorEastAsia" w:hAnsiTheme="minorHAnsi"/>
          <w:b w:val="0"/>
          <w:noProof/>
          <w:sz w:val="22"/>
          <w:lang w:val="sv-SE" w:eastAsia="sv-SE"/>
        </w:rPr>
      </w:pPr>
      <w:r w:rsidRPr="00521A4E">
        <w:rPr>
          <w:b w:val="0"/>
        </w:rPr>
        <w:fldChar w:fldCharType="begin"/>
      </w:r>
      <w:r w:rsidRPr="00521A4E">
        <w:rPr>
          <w:b w:val="0"/>
          <w:bCs/>
        </w:rPr>
        <w:instrText xml:space="preserve"> TOC \n \h \z \t "Proposal" \c </w:instrText>
      </w:r>
      <w:r w:rsidRPr="00521A4E">
        <w:rPr>
          <w:b w:val="0"/>
        </w:rPr>
        <w:fldChar w:fldCharType="separate"/>
      </w:r>
      <w:hyperlink w:anchor="_Toc87042229" w:history="1">
        <w:r w:rsidR="00F201E9" w:rsidRPr="00EA4E1A">
          <w:rPr>
            <w:rStyle w:val="Hyperlink"/>
            <w:noProof/>
            <w:lang w:eastAsia="ja-JP"/>
            <w14:scene3d>
              <w14:camera w14:prst="orthographicFront"/>
              <w14:lightRig w14:rig="threePt" w14:dir="t">
                <w14:rot w14:lat="0" w14:lon="0" w14:rev="0"/>
              </w14:lightRig>
            </w14:scene3d>
          </w:rPr>
          <w:t>Proposal 1</w:t>
        </w:r>
        <w:r w:rsidR="00F201E9">
          <w:rPr>
            <w:rFonts w:asciiTheme="minorHAnsi" w:eastAsiaTheme="minorEastAsia" w:hAnsiTheme="minorHAnsi"/>
            <w:b w:val="0"/>
            <w:noProof/>
            <w:sz w:val="22"/>
            <w:lang w:val="sv-SE" w:eastAsia="sv-SE"/>
          </w:rPr>
          <w:tab/>
        </w:r>
        <w:r w:rsidR="00F201E9" w:rsidRPr="00EA4E1A">
          <w:rPr>
            <w:rStyle w:val="Hyperlink"/>
            <w:noProof/>
            <w:lang w:eastAsia="ja-JP"/>
          </w:rPr>
          <w:t>The frequency domain granularity, i.e., the N RBs in an RB set is related to MT’s BWP and number of PRBs in an RBG, NRB(RBG), as given in Table 1.</w:t>
        </w:r>
      </w:hyperlink>
    </w:p>
    <w:p w14:paraId="44EC308B" w14:textId="176A8AB6"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0" w:history="1">
        <w:r w:rsidRPr="00EA4E1A">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sv-SE" w:eastAsia="sv-SE"/>
          </w:rPr>
          <w:tab/>
        </w:r>
        <w:r w:rsidRPr="00EA4E1A">
          <w:rPr>
            <w:rStyle w:val="Hyperlink"/>
            <w:noProof/>
          </w:rPr>
          <w:t>Support per-BWP frequency domain H/S/NA configuration, including the RB set configuration.</w:t>
        </w:r>
      </w:hyperlink>
    </w:p>
    <w:p w14:paraId="340F1C50" w14:textId="6C8E3531"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1" w:history="1">
        <w:r w:rsidRPr="00EA4E1A">
          <w:rPr>
            <w:rStyle w:val="Hyperlink"/>
            <w:noProof/>
            <w:lang w:eastAsia="ja-JP"/>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val="sv-SE" w:eastAsia="sv-SE"/>
          </w:rPr>
          <w:tab/>
        </w:r>
        <w:r w:rsidRPr="00EA4E1A">
          <w:rPr>
            <w:rStyle w:val="Hyperlink"/>
            <w:noProof/>
            <w:lang w:eastAsia="ja-JP"/>
          </w:rPr>
          <w:t>RB sets which are non-overlapping with the IAB-MT’s active BWPs, are treated as Hard DU resources.</w:t>
        </w:r>
      </w:hyperlink>
    </w:p>
    <w:p w14:paraId="42BDFE68" w14:textId="399D14DF"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2" w:history="1">
        <w:r w:rsidRPr="00EA4E1A">
          <w:rPr>
            <w:rStyle w:val="Hyperlink"/>
            <w:noProof/>
            <w:lang w:eastAsia="en-GB"/>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val="sv-SE" w:eastAsia="sv-SE"/>
          </w:rPr>
          <w:tab/>
        </w:r>
        <w:r w:rsidRPr="00EA4E1A">
          <w:rPr>
            <w:rStyle w:val="Hyperlink"/>
            <w:noProof/>
            <w:lang w:eastAsia="ja-JP"/>
          </w:rPr>
          <w:t>RAN1 should discuss the indexing of RB sets (including complete and incomplete RB sets) and how many incomplete RB sets can be configured for each IAB-DU cell.</w:t>
        </w:r>
      </w:hyperlink>
    </w:p>
    <w:p w14:paraId="0DD5B15A" w14:textId="76F69E57"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3" w:history="1">
        <w:r w:rsidRPr="00EA4E1A">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val="sv-SE" w:eastAsia="sv-SE"/>
          </w:rPr>
          <w:tab/>
        </w:r>
        <w:r w:rsidRPr="00EA4E1A">
          <w:rPr>
            <w:rStyle w:val="Hyperlink"/>
            <w:noProof/>
            <w:lang w:eastAsia="ja-JP"/>
          </w:rPr>
          <w:t>In case that an IAB-DU cell is overlapping with multiple IAB-MT’s serving cells, the IAB-DU cell is configured with one N value which is derived based on the largest RBG size of all IAB-MT cells and is common to all the MT-BWPs.</w:t>
        </w:r>
      </w:hyperlink>
    </w:p>
    <w:p w14:paraId="5A018DCE" w14:textId="2E1C7FEA"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4" w:history="1">
        <w:r w:rsidRPr="00EA4E1A">
          <w:rPr>
            <w:rStyle w:val="Hyperlink"/>
            <w:noProof/>
            <w:lang w:eastAsia="ja-JP"/>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val="sv-SE" w:eastAsia="sv-SE"/>
          </w:rPr>
          <w:tab/>
        </w:r>
        <w:r w:rsidRPr="00EA4E1A">
          <w:rPr>
            <w:rStyle w:val="Hyperlink"/>
            <w:noProof/>
            <w:lang w:eastAsia="ja-JP"/>
          </w:rPr>
          <w:t>If a resource is configured as Hard, or explicitly indicated as Soft-IA the IAB-DU can transmit, receive, or either transmit or receive according to its configuration only if it does not impact the IAB-MT’s actual ability to operate in any other resource that is either configured Not Available, or configured Soft and not explicitly indicated available.</w:t>
        </w:r>
      </w:hyperlink>
    </w:p>
    <w:p w14:paraId="08A9F5F3" w14:textId="15D62221"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5" w:history="1">
        <w:r w:rsidRPr="00EA4E1A">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b w:val="0"/>
            <w:noProof/>
            <w:sz w:val="22"/>
            <w:lang w:val="sv-SE" w:eastAsia="sv-SE"/>
          </w:rPr>
          <w:tab/>
        </w:r>
        <w:r w:rsidRPr="00EA4E1A">
          <w:rPr>
            <w:rStyle w:val="Hyperlink"/>
            <w:noProof/>
            <w:lang w:eastAsia="ja-JP"/>
          </w:rPr>
          <w:t>If a resource is configured as Soft (including implicitly indicated available), the IAB-DU can transmit, receive, or either transmit or receive only if it does not impact the IAB-MT’s actual ability to operate in any resource, either configured Not Available, or configured Soft and not explicitly indicated available.</w:t>
        </w:r>
      </w:hyperlink>
    </w:p>
    <w:p w14:paraId="7B4D2425" w14:textId="2BE0EBA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6" w:history="1">
        <w:r w:rsidRPr="00EA4E1A">
          <w:rPr>
            <w:rStyle w:val="Hyperlink"/>
            <w:noProof/>
            <w:lang w:eastAsia="ja-JP"/>
            <w14:scene3d>
              <w14:camera w14:prst="orthographicFront"/>
              <w14:lightRig w14:rig="threePt" w14:dir="t">
                <w14:rot w14:lat="0" w14:lon="0" w14:rev="0"/>
              </w14:lightRig>
            </w14:scene3d>
          </w:rPr>
          <w:t>Proposal 8</w:t>
        </w:r>
        <w:r>
          <w:rPr>
            <w:rFonts w:asciiTheme="minorHAnsi" w:eastAsiaTheme="minorEastAsia" w:hAnsiTheme="minorHAnsi"/>
            <w:b w:val="0"/>
            <w:noProof/>
            <w:sz w:val="22"/>
            <w:lang w:val="sv-SE" w:eastAsia="sv-SE"/>
          </w:rPr>
          <w:tab/>
        </w:r>
        <w:r w:rsidRPr="00EA4E1A">
          <w:rPr>
            <w:rStyle w:val="Hyperlink"/>
            <w:noProof/>
            <w:lang w:eastAsia="ja-JP"/>
          </w:rPr>
          <w:t>The parent node can be made aware of the Rel-17 frequency domain resource configurations of the child IAB-node, including the RB set configuration.</w:t>
        </w:r>
      </w:hyperlink>
    </w:p>
    <w:p w14:paraId="59709A79" w14:textId="5B20805F"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7" w:history="1">
        <w:r w:rsidRPr="00EA4E1A">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b w:val="0"/>
            <w:noProof/>
            <w:sz w:val="22"/>
            <w:lang w:val="sv-SE" w:eastAsia="sv-SE"/>
          </w:rPr>
          <w:tab/>
        </w:r>
        <w:r w:rsidRPr="00EA4E1A">
          <w:rPr>
            <w:rStyle w:val="Hyperlink"/>
            <w:noProof/>
            <w:lang w:eastAsia="ja-JP"/>
          </w:rPr>
          <w:t>Extend the semi-static IAB node multiplexing capability to include FDM-required for multiplexing modes MT RX/DU RX and MT TX/DU TX in the Multiplexing Info IE in 3GPP TS 38.473 [9].</w:t>
        </w:r>
      </w:hyperlink>
    </w:p>
    <w:p w14:paraId="4FE2F7B0" w14:textId="051FC206"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8" w:history="1">
        <w:r w:rsidRPr="00EA4E1A">
          <w:rPr>
            <w:rStyle w:val="Hyperlink"/>
            <w:rFonts w:cs="Arial"/>
            <w:noProof/>
            <w14:scene3d>
              <w14:camera w14:prst="orthographicFront"/>
              <w14:lightRig w14:rig="threePt" w14:dir="t">
                <w14:rot w14:lat="0" w14:lon="0" w14:rev="0"/>
              </w14:lightRig>
            </w14:scene3d>
          </w:rPr>
          <w:t>Proposal 10</w:t>
        </w:r>
        <w:r>
          <w:rPr>
            <w:rFonts w:asciiTheme="minorHAnsi" w:eastAsiaTheme="minorEastAsia" w:hAnsiTheme="minorHAnsi"/>
            <w:b w:val="0"/>
            <w:noProof/>
            <w:sz w:val="22"/>
            <w:lang w:val="sv-SE" w:eastAsia="sv-SE"/>
          </w:rPr>
          <w:tab/>
        </w:r>
        <w:r w:rsidRPr="00EA4E1A">
          <w:rPr>
            <w:rStyle w:val="Hyperlink"/>
            <w:noProof/>
            <w:lang w:eastAsia="ja-JP"/>
          </w:rPr>
          <w:t>Confirm that working assumption that if both Rel-16 time domain H/S/NA configuration and Rel-17 frequency domain H/S/NA configuration are provided for a given RB set within a slot, an IAB node applies the frequency domain H/S/NA if the IAB node is currently operating in a non-TDM multiplexing mode in the slot, otherwise the Rel-16 time domain H/S/NA configuration is applied.</w:t>
        </w:r>
      </w:hyperlink>
    </w:p>
    <w:p w14:paraId="5144EBB6" w14:textId="2C3A8B95"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39" w:history="1">
        <w:r w:rsidRPr="00EA4E1A">
          <w:rPr>
            <w:rStyle w:val="Hyperlink"/>
            <w:noProof/>
            <w:lang w:eastAsia="ja-JP"/>
            <w14:scene3d>
              <w14:camera w14:prst="orthographicFront"/>
              <w14:lightRig w14:rig="threePt" w14:dir="t">
                <w14:rot w14:lat="0" w14:lon="0" w14:rev="0"/>
              </w14:lightRig>
            </w14:scene3d>
          </w:rPr>
          <w:t>Proposal 11</w:t>
        </w:r>
        <w:r>
          <w:rPr>
            <w:rFonts w:asciiTheme="minorHAnsi" w:eastAsiaTheme="minorEastAsia" w:hAnsiTheme="minorHAnsi"/>
            <w:b w:val="0"/>
            <w:noProof/>
            <w:sz w:val="22"/>
            <w:lang w:val="sv-SE" w:eastAsia="sv-SE"/>
          </w:rPr>
          <w:tab/>
        </w:r>
        <w:r w:rsidRPr="00EA4E1A">
          <w:rPr>
            <w:rStyle w:val="Hyperlink"/>
            <w:noProof/>
            <w:lang w:eastAsia="ja-JP"/>
          </w:rPr>
          <w:t>The IAB-node may report to the parent node a set of multiplexing conditions on the required timing mode, power levels and beam indication:</w:t>
        </w:r>
      </w:hyperlink>
    </w:p>
    <w:p w14:paraId="5C13779D" w14:textId="532726D7"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0" w:history="1">
        <w:r w:rsidRPr="00EA4E1A">
          <w:rPr>
            <w:rStyle w:val="Hyperlink"/>
            <w:rFonts w:ascii="Symbol" w:hAnsi="Symbol"/>
            <w:noProof/>
          </w:rPr>
          <w:t></w:t>
        </w:r>
        <w:r>
          <w:rPr>
            <w:rFonts w:asciiTheme="minorHAnsi" w:eastAsiaTheme="minorEastAsia" w:hAnsiTheme="minorHAnsi"/>
            <w:b w:val="0"/>
            <w:noProof/>
            <w:sz w:val="22"/>
            <w:lang w:val="sv-SE" w:eastAsia="sv-SE"/>
          </w:rPr>
          <w:tab/>
        </w:r>
        <w:r w:rsidRPr="00EA4E1A">
          <w:rPr>
            <w:rStyle w:val="Hyperlink"/>
            <w:noProof/>
          </w:rPr>
          <w:t>For simultaneous MT-TX/DU-TX, the multiplexing conditions include whether the IAB-node requires:</w:t>
        </w:r>
      </w:hyperlink>
    </w:p>
    <w:p w14:paraId="71E09B59" w14:textId="366552A3"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1"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Case-6 timing</w:t>
        </w:r>
      </w:hyperlink>
    </w:p>
    <w:p w14:paraId="50B492F4" w14:textId="318014A8"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2"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Parent node indication of restricted IAB-DU beams</w:t>
        </w:r>
      </w:hyperlink>
    </w:p>
    <w:p w14:paraId="3A766A97" w14:textId="71D205BD"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3"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IAB-node indication to its parent node on its MT’s minimum UL TX power level</w:t>
        </w:r>
      </w:hyperlink>
    </w:p>
    <w:p w14:paraId="6BE3F56D" w14:textId="3EAC4CCC"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4" w:history="1">
        <w:r w:rsidRPr="00EA4E1A">
          <w:rPr>
            <w:rStyle w:val="Hyperlink"/>
            <w:rFonts w:ascii="Symbol" w:hAnsi="Symbol"/>
            <w:noProof/>
          </w:rPr>
          <w:t></w:t>
        </w:r>
        <w:r>
          <w:rPr>
            <w:rFonts w:asciiTheme="minorHAnsi" w:eastAsiaTheme="minorEastAsia" w:hAnsiTheme="minorHAnsi"/>
            <w:b w:val="0"/>
            <w:noProof/>
            <w:sz w:val="22"/>
            <w:lang w:val="sv-SE" w:eastAsia="sv-SE"/>
          </w:rPr>
          <w:tab/>
        </w:r>
        <w:r w:rsidRPr="00EA4E1A">
          <w:rPr>
            <w:rStyle w:val="Hyperlink"/>
            <w:noProof/>
          </w:rPr>
          <w:t>For simultaneous MT RX/DU RX, the multiplexing conditions include whether the IAB-node:</w:t>
        </w:r>
      </w:hyperlink>
    </w:p>
    <w:p w14:paraId="234B36E2" w14:textId="0693859A"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5"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Supports adjustment of child node UL TX timing in Case-7 timing</w:t>
        </w:r>
      </w:hyperlink>
    </w:p>
    <w:p w14:paraId="17853F51" w14:textId="173FDB2A"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6"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Supports adjustment of UL TX timing for parent node in Case-7 timing</w:t>
        </w:r>
      </w:hyperlink>
    </w:p>
    <w:p w14:paraId="6DDAB747" w14:textId="0F332459"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7"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Requires IAB-node indication of recommended IAB-MT beams</w:t>
        </w:r>
      </w:hyperlink>
    </w:p>
    <w:p w14:paraId="7AB6091D" w14:textId="60AEFD78"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8" w:history="1">
        <w:r w:rsidRPr="00EA4E1A">
          <w:rPr>
            <w:rStyle w:val="Hyperlink"/>
            <w:rFonts w:ascii="Courier New" w:hAnsi="Courier New" w:cs="Courier New"/>
            <w:noProof/>
          </w:rPr>
          <w:t>o</w:t>
        </w:r>
        <w:r>
          <w:rPr>
            <w:rFonts w:asciiTheme="minorHAnsi" w:eastAsiaTheme="minorEastAsia" w:hAnsiTheme="minorHAnsi"/>
            <w:b w:val="0"/>
            <w:noProof/>
            <w:sz w:val="22"/>
            <w:lang w:val="sv-SE" w:eastAsia="sv-SE"/>
          </w:rPr>
          <w:tab/>
        </w:r>
        <w:r w:rsidRPr="00EA4E1A">
          <w:rPr>
            <w:rStyle w:val="Hyperlink"/>
            <w:noProof/>
          </w:rPr>
          <w:t>Requires IAB-node indication to support parent node maximum DL power level</w:t>
        </w:r>
      </w:hyperlink>
    </w:p>
    <w:p w14:paraId="34889426" w14:textId="687DDE9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49" w:history="1">
        <w:r w:rsidRPr="00EA4E1A">
          <w:rPr>
            <w:rStyle w:val="Hyperlink"/>
            <w:noProof/>
            <w:lang w:eastAsia="ja-JP"/>
            <w14:scene3d>
              <w14:camera w14:prst="orthographicFront"/>
              <w14:lightRig w14:rig="threePt" w14:dir="t">
                <w14:rot w14:lat="0" w14:lon="0" w14:rev="0"/>
              </w14:lightRig>
            </w14:scene3d>
          </w:rPr>
          <w:t>Proposal 12</w:t>
        </w:r>
        <w:r>
          <w:rPr>
            <w:rFonts w:asciiTheme="minorHAnsi" w:eastAsiaTheme="minorEastAsia" w:hAnsiTheme="minorHAnsi"/>
            <w:b w:val="0"/>
            <w:noProof/>
            <w:sz w:val="22"/>
            <w:lang w:val="sv-SE" w:eastAsia="sv-SE"/>
          </w:rPr>
          <w:tab/>
        </w:r>
        <w:r w:rsidRPr="00EA4E1A">
          <w:rPr>
            <w:rStyle w:val="Hyperlink"/>
            <w:noProof/>
            <w:lang w:eastAsia="ja-JP"/>
          </w:rPr>
          <w:t>Whether or not to switch to FDM/SDM should be based on the explicit or implicit ACK/NACK response from the parent IAB-node.</w:t>
        </w:r>
      </w:hyperlink>
    </w:p>
    <w:p w14:paraId="76A83DF5" w14:textId="44DD16C1"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0" w:history="1">
        <w:r w:rsidRPr="00EA4E1A">
          <w:rPr>
            <w:rStyle w:val="Hyperlink"/>
            <w:noProof/>
            <w:lang w:eastAsia="ja-JP"/>
            <w14:scene3d>
              <w14:camera w14:prst="orthographicFront"/>
              <w14:lightRig w14:rig="threePt" w14:dir="t">
                <w14:rot w14:lat="0" w14:lon="0" w14:rev="0"/>
              </w14:lightRig>
            </w14:scene3d>
          </w:rPr>
          <w:t>Proposal 13</w:t>
        </w:r>
        <w:r>
          <w:rPr>
            <w:rFonts w:asciiTheme="minorHAnsi" w:eastAsiaTheme="minorEastAsia" w:hAnsiTheme="minorHAnsi"/>
            <w:b w:val="0"/>
            <w:noProof/>
            <w:sz w:val="22"/>
            <w:lang w:val="sv-SE" w:eastAsia="sv-SE"/>
          </w:rPr>
          <w:tab/>
        </w:r>
        <w:r w:rsidRPr="00EA4E1A">
          <w:rPr>
            <w:rStyle w:val="Hyperlink"/>
            <w:noProof/>
            <w:lang w:eastAsia="ja-JP"/>
          </w:rPr>
          <w:t>RAN1 selects the following two signaling alternatives for the fallback request to TDM operation mode:</w:t>
        </w:r>
      </w:hyperlink>
    </w:p>
    <w:p w14:paraId="2F5DDD23" w14:textId="626D2DEE"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1" w:history="1">
        <w:r w:rsidRPr="00EA4E1A">
          <w:rPr>
            <w:rStyle w:val="Hyperlink"/>
            <w:noProof/>
          </w:rPr>
          <w:t>Alt1: UCI-based</w:t>
        </w:r>
      </w:hyperlink>
    </w:p>
    <w:p w14:paraId="3EF94861" w14:textId="275B00F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2" w:history="1">
        <w:r w:rsidRPr="00EA4E1A">
          <w:rPr>
            <w:rStyle w:val="Hyperlink"/>
            <w:noProof/>
          </w:rPr>
          <w:t>Alt2: MAC-CE based</w:t>
        </w:r>
      </w:hyperlink>
    </w:p>
    <w:p w14:paraId="7C5A81B5" w14:textId="63762E11"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3" w:history="1">
        <w:r w:rsidRPr="00EA4E1A">
          <w:rPr>
            <w:rStyle w:val="Hyperlink"/>
            <w:noProof/>
            <w14:scene3d>
              <w14:camera w14:prst="orthographicFront"/>
              <w14:lightRig w14:rig="threePt" w14:dir="t">
                <w14:rot w14:lat="0" w14:lon="0" w14:rev="0"/>
              </w14:lightRig>
            </w14:scene3d>
          </w:rPr>
          <w:t>Proposal 14</w:t>
        </w:r>
        <w:r>
          <w:rPr>
            <w:rFonts w:asciiTheme="minorHAnsi" w:eastAsiaTheme="minorEastAsia" w:hAnsiTheme="minorHAnsi"/>
            <w:b w:val="0"/>
            <w:noProof/>
            <w:sz w:val="22"/>
            <w:lang w:val="sv-SE" w:eastAsia="sv-SE"/>
          </w:rPr>
          <w:tab/>
        </w:r>
        <w:r w:rsidRPr="00EA4E1A">
          <w:rPr>
            <w:rStyle w:val="Hyperlink"/>
            <w:noProof/>
            <w:lang w:eastAsia="ja-JP"/>
          </w:rPr>
          <w:t>Fallback to TDM does not need an ACK response from the parent IAB-node.</w:t>
        </w:r>
      </w:hyperlink>
    </w:p>
    <w:p w14:paraId="372F001B" w14:textId="643E8377"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4" w:history="1">
        <w:r w:rsidRPr="00EA4E1A">
          <w:rPr>
            <w:rStyle w:val="Hyperlink"/>
            <w:noProof/>
            <w:lang w:eastAsia="ja-JP"/>
            <w14:scene3d>
              <w14:camera w14:prst="orthographicFront"/>
              <w14:lightRig w14:rig="threePt" w14:dir="t">
                <w14:rot w14:lat="0" w14:lon="0" w14:rev="0"/>
              </w14:lightRig>
            </w14:scene3d>
          </w:rPr>
          <w:t>Proposal 15</w:t>
        </w:r>
        <w:r>
          <w:rPr>
            <w:rFonts w:asciiTheme="minorHAnsi" w:eastAsiaTheme="minorEastAsia" w:hAnsiTheme="minorHAnsi"/>
            <w:b w:val="0"/>
            <w:noProof/>
            <w:sz w:val="22"/>
            <w:lang w:val="sv-SE" w:eastAsia="sv-SE"/>
          </w:rPr>
          <w:tab/>
        </w:r>
        <w:r w:rsidRPr="00EA4E1A">
          <w:rPr>
            <w:rStyle w:val="Hyperlink"/>
            <w:noProof/>
            <w:lang w:eastAsia="ja-JP"/>
          </w:rPr>
          <w:t xml:space="preserve">For explicit availability indication of frequency-domain Soft resources, each </w:t>
        </w:r>
        <w:r w:rsidRPr="00EA4E1A">
          <w:rPr>
            <w:rStyle w:val="Hyperlink"/>
            <w:i/>
            <w:noProof/>
            <w:lang w:eastAsia="ja-JP"/>
          </w:rPr>
          <w:t>availabilityCombinationId</w:t>
        </w:r>
        <w:r w:rsidRPr="00EA4E1A">
          <w:rPr>
            <w:rStyle w:val="Hyperlink"/>
            <w:noProof/>
            <w:lang w:eastAsia="ja-JP"/>
          </w:rPr>
          <w:t xml:space="preserve"> of </w:t>
        </w:r>
        <w:r w:rsidRPr="00EA4E1A">
          <w:rPr>
            <w:rStyle w:val="Hyperlink"/>
            <w:i/>
            <w:noProof/>
            <w:lang w:eastAsia="ja-JP"/>
          </w:rPr>
          <w:t>availabilityCombinations</w:t>
        </w:r>
        <w:r w:rsidRPr="00EA4E1A">
          <w:rPr>
            <w:rStyle w:val="Hyperlink"/>
            <w:noProof/>
            <w:lang w:eastAsia="ja-JP"/>
          </w:rPr>
          <w:t xml:space="preserve"> can indicate availability for a single or multiple RB sets.</w:t>
        </w:r>
      </w:hyperlink>
    </w:p>
    <w:p w14:paraId="2123CF52" w14:textId="1FC68680"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5" w:history="1">
        <w:r w:rsidRPr="00EA4E1A">
          <w:rPr>
            <w:rStyle w:val="Hyperlink"/>
            <w:noProof/>
            <w:lang w:eastAsia="ja-JP"/>
            <w14:scene3d>
              <w14:camera w14:prst="orthographicFront"/>
              <w14:lightRig w14:rig="threePt" w14:dir="t">
                <w14:rot w14:lat="0" w14:lon="0" w14:rev="0"/>
              </w14:lightRig>
            </w14:scene3d>
          </w:rPr>
          <w:t>Proposal 16</w:t>
        </w:r>
        <w:r>
          <w:rPr>
            <w:rFonts w:asciiTheme="minorHAnsi" w:eastAsiaTheme="minorEastAsia" w:hAnsiTheme="minorHAnsi"/>
            <w:b w:val="0"/>
            <w:noProof/>
            <w:sz w:val="22"/>
            <w:lang w:val="sv-SE" w:eastAsia="sv-SE"/>
          </w:rPr>
          <w:tab/>
        </w:r>
        <w:r w:rsidRPr="00EA4E1A">
          <w:rPr>
            <w:rStyle w:val="Hyperlink"/>
            <w:noProof/>
            <w:lang w:eastAsia="ja-JP"/>
          </w:rPr>
          <w:t>Rel-17 enhancement on DCI format 2_5 should at least consider extension of the maximum payload size of DCI format 2_5 to increase the number of IAB-DU cells that can be provided with availability information for Soft resources.</w:t>
        </w:r>
      </w:hyperlink>
    </w:p>
    <w:p w14:paraId="75D54983" w14:textId="32E28E7D"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6" w:history="1">
        <w:r w:rsidRPr="00EA4E1A">
          <w:rPr>
            <w:rStyle w:val="Hyperlink"/>
            <w:noProof/>
            <w:lang w:eastAsia="ja-JP"/>
            <w14:scene3d>
              <w14:camera w14:prst="orthographicFront"/>
              <w14:lightRig w14:rig="threePt" w14:dir="t">
                <w14:rot w14:lat="0" w14:lon="0" w14:rev="0"/>
              </w14:lightRig>
            </w14:scene3d>
          </w:rPr>
          <w:t>Proposal 17</w:t>
        </w:r>
        <w:r>
          <w:rPr>
            <w:rFonts w:asciiTheme="minorHAnsi" w:eastAsiaTheme="minorEastAsia" w:hAnsiTheme="minorHAnsi"/>
            <w:b w:val="0"/>
            <w:noProof/>
            <w:sz w:val="22"/>
            <w:lang w:val="sv-SE" w:eastAsia="sv-SE"/>
          </w:rPr>
          <w:tab/>
        </w:r>
        <w:r w:rsidRPr="00EA4E1A">
          <w:rPr>
            <w:rStyle w:val="Hyperlink"/>
            <w:noProof/>
            <w:lang w:eastAsia="ja-JP"/>
          </w:rPr>
          <w:t>Introducing group indexing bits in DCI format 2_5 to further increase the number of IAB-DU cells that can be indicated AI.</w:t>
        </w:r>
      </w:hyperlink>
    </w:p>
    <w:p w14:paraId="127226CC" w14:textId="4C20620C"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7" w:history="1">
        <w:r w:rsidRPr="00EA4E1A">
          <w:rPr>
            <w:rStyle w:val="Hyperlink"/>
            <w:noProof/>
            <w:lang w:eastAsia="ja-JP"/>
            <w14:scene3d>
              <w14:camera w14:prst="orthographicFront"/>
              <w14:lightRig w14:rig="threePt" w14:dir="t">
                <w14:rot w14:lat="0" w14:lon="0" w14:rev="0"/>
              </w14:lightRig>
            </w14:scene3d>
          </w:rPr>
          <w:t>Proposal 18</w:t>
        </w:r>
        <w:r>
          <w:rPr>
            <w:rFonts w:asciiTheme="minorHAnsi" w:eastAsiaTheme="minorEastAsia" w:hAnsiTheme="minorHAnsi"/>
            <w:b w:val="0"/>
            <w:noProof/>
            <w:sz w:val="22"/>
            <w:lang w:val="sv-SE" w:eastAsia="sv-SE"/>
          </w:rPr>
          <w:tab/>
        </w:r>
        <w:r w:rsidRPr="00EA4E1A">
          <w:rPr>
            <w:rStyle w:val="Hyperlink"/>
            <w:noProof/>
            <w:lang w:eastAsia="ja-JP"/>
          </w:rPr>
          <w:t>One resourceAvailability element of the availabilityCombinations table is reserved to signal to the IAB-DU that “No new Availability Indication is provided” in DCI format 2_5.</w:t>
        </w:r>
      </w:hyperlink>
    </w:p>
    <w:p w14:paraId="40470B7E" w14:textId="6605CAE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8" w:history="1">
        <w:r w:rsidRPr="00EA4E1A">
          <w:rPr>
            <w:rStyle w:val="Hyperlink"/>
            <w:noProof/>
            <w:lang w:eastAsia="ja-JP"/>
            <w14:scene3d>
              <w14:camera w14:prst="orthographicFront"/>
              <w14:lightRig w14:rig="threePt" w14:dir="t">
                <w14:rot w14:lat="0" w14:lon="0" w14:rev="0"/>
              </w14:lightRig>
            </w14:scene3d>
          </w:rPr>
          <w:t>Proposal 19</w:t>
        </w:r>
        <w:r>
          <w:rPr>
            <w:rFonts w:asciiTheme="minorHAnsi" w:eastAsiaTheme="minorEastAsia" w:hAnsiTheme="minorHAnsi"/>
            <w:b w:val="0"/>
            <w:noProof/>
            <w:sz w:val="22"/>
            <w:lang w:val="sv-SE" w:eastAsia="sv-SE"/>
          </w:rPr>
          <w:tab/>
        </w:r>
        <w:r w:rsidRPr="00EA4E1A">
          <w:rPr>
            <w:rStyle w:val="Hyperlink"/>
            <w:noProof/>
          </w:rPr>
          <w:t>SDM, including beam restrictions/recommendations, is restricted to Soft resources</w:t>
        </w:r>
        <w:r w:rsidRPr="00EA4E1A">
          <w:rPr>
            <w:rStyle w:val="Hyperlink"/>
            <w:noProof/>
            <w:lang w:eastAsia="ja-JP"/>
          </w:rPr>
          <w:t>.</w:t>
        </w:r>
      </w:hyperlink>
    </w:p>
    <w:p w14:paraId="0090C123" w14:textId="0D833428"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59" w:history="1">
        <w:r w:rsidRPr="00EA4E1A">
          <w:rPr>
            <w:rStyle w:val="Hyperlink"/>
            <w:rFonts w:cs="Arial"/>
            <w:noProof/>
            <w14:scene3d>
              <w14:camera w14:prst="orthographicFront"/>
              <w14:lightRig w14:rig="threePt" w14:dir="t">
                <w14:rot w14:lat="0" w14:lon="0" w14:rev="0"/>
              </w14:lightRig>
            </w14:scene3d>
          </w:rPr>
          <w:t>Proposal 20</w:t>
        </w:r>
        <w:r>
          <w:rPr>
            <w:rFonts w:asciiTheme="minorHAnsi" w:eastAsiaTheme="minorEastAsia" w:hAnsiTheme="minorHAnsi"/>
            <w:b w:val="0"/>
            <w:noProof/>
            <w:sz w:val="22"/>
            <w:lang w:val="sv-SE" w:eastAsia="sv-SE"/>
          </w:rPr>
          <w:tab/>
        </w:r>
        <w:r w:rsidRPr="00EA4E1A">
          <w:rPr>
            <w:rStyle w:val="Hyperlink"/>
            <w:noProof/>
            <w:lang w:eastAsia="ja-JP"/>
          </w:rPr>
          <w:t>Explicit availability indication overrides SDM beam restrictions in Soft resources.</w:t>
        </w:r>
      </w:hyperlink>
    </w:p>
    <w:p w14:paraId="4C4DFF75" w14:textId="7E83072F"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0" w:history="1">
        <w:r w:rsidRPr="00EA4E1A">
          <w:rPr>
            <w:rStyle w:val="Hyperlink"/>
            <w:rFonts w:cs="Arial"/>
            <w:noProof/>
            <w14:scene3d>
              <w14:camera w14:prst="orthographicFront"/>
              <w14:lightRig w14:rig="threePt" w14:dir="t">
                <w14:rot w14:lat="0" w14:lon="0" w14:rev="0"/>
              </w14:lightRig>
            </w14:scene3d>
          </w:rPr>
          <w:t>Proposal 21</w:t>
        </w:r>
        <w:r>
          <w:rPr>
            <w:rFonts w:asciiTheme="minorHAnsi" w:eastAsiaTheme="minorEastAsia" w:hAnsiTheme="minorHAnsi"/>
            <w:b w:val="0"/>
            <w:noProof/>
            <w:sz w:val="22"/>
            <w:lang w:val="sv-SE" w:eastAsia="sv-SE"/>
          </w:rPr>
          <w:tab/>
        </w:r>
        <w:r w:rsidRPr="00EA4E1A">
          <w:rPr>
            <w:rStyle w:val="Hyperlink"/>
            <w:noProof/>
            <w:lang w:eastAsia="ja-JP"/>
          </w:rPr>
          <w:t>The restricted beam indication from the parent node to the IAB node may be indicated to be associated to IAB-MT’s UL TX beam, via the parent node’s DL RS ID (e.g., SSB ID).</w:t>
        </w:r>
      </w:hyperlink>
    </w:p>
    <w:p w14:paraId="674DF7A1" w14:textId="3734DAB6"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1" w:history="1">
        <w:r w:rsidRPr="00EA4E1A">
          <w:rPr>
            <w:rStyle w:val="Hyperlink"/>
            <w:noProof/>
            <w:lang w:eastAsia="ja-JP"/>
            <w14:scene3d>
              <w14:camera w14:prst="orthographicFront"/>
              <w14:lightRig w14:rig="threePt" w14:dir="t">
                <w14:rot w14:lat="0" w14:lon="0" w14:rev="0"/>
              </w14:lightRig>
            </w14:scene3d>
          </w:rPr>
          <w:t>Proposal 22</w:t>
        </w:r>
        <w:r>
          <w:rPr>
            <w:rFonts w:asciiTheme="minorHAnsi" w:eastAsiaTheme="minorEastAsia" w:hAnsiTheme="minorHAnsi"/>
            <w:b w:val="0"/>
            <w:noProof/>
            <w:sz w:val="22"/>
            <w:lang w:val="sv-SE" w:eastAsia="sv-SE"/>
          </w:rPr>
          <w:tab/>
        </w:r>
        <w:r w:rsidRPr="00EA4E1A">
          <w:rPr>
            <w:rStyle w:val="Hyperlink"/>
            <w:noProof/>
            <w:lang w:eastAsia="ja-JP"/>
          </w:rPr>
          <w:t>RS ID (including SSB index and STC index) is sufficient for a parent node to indicate beams of an IAB-DU in the direction in which simultaneous operation is restricted.</w:t>
        </w:r>
      </w:hyperlink>
    </w:p>
    <w:p w14:paraId="3521D5C6" w14:textId="6E3233CE"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2" w:history="1">
        <w:r w:rsidRPr="00EA4E1A">
          <w:rPr>
            <w:rStyle w:val="Hyperlink"/>
            <w:noProof/>
            <w:lang w:eastAsia="ja-JP"/>
            <w14:scene3d>
              <w14:camera w14:prst="orthographicFront"/>
              <w14:lightRig w14:rig="threePt" w14:dir="t">
                <w14:rot w14:lat="0" w14:lon="0" w14:rev="0"/>
              </w14:lightRig>
            </w14:scene3d>
          </w:rPr>
          <w:t>Proposal 23</w:t>
        </w:r>
        <w:r>
          <w:rPr>
            <w:rFonts w:asciiTheme="minorHAnsi" w:eastAsiaTheme="minorEastAsia" w:hAnsiTheme="minorHAnsi"/>
            <w:b w:val="0"/>
            <w:noProof/>
            <w:sz w:val="22"/>
            <w:lang w:val="sv-SE" w:eastAsia="sv-SE"/>
          </w:rPr>
          <w:tab/>
        </w:r>
        <w:r w:rsidRPr="00EA4E1A">
          <w:rPr>
            <w:rStyle w:val="Hyperlink"/>
            <w:noProof/>
            <w:lang w:eastAsia="ja-JP"/>
          </w:rPr>
          <w:t>RS ID (parent node’s SSB ID and CSI-RS ID) is used by a child node to indicate a set of preferred beams to the parent node for both IAB-MT UL TX beam and DL RX beam.</w:t>
        </w:r>
      </w:hyperlink>
    </w:p>
    <w:p w14:paraId="6E12D130" w14:textId="1F435539"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3" w:history="1">
        <w:r w:rsidRPr="00EA4E1A">
          <w:rPr>
            <w:rStyle w:val="Hyperlink"/>
            <w:noProof/>
            <w:lang w:eastAsia="ja-JP"/>
            <w14:scene3d>
              <w14:camera w14:prst="orthographicFront"/>
              <w14:lightRig w14:rig="threePt" w14:dir="t">
                <w14:rot w14:lat="0" w14:lon="0" w14:rev="0"/>
              </w14:lightRig>
            </w14:scene3d>
          </w:rPr>
          <w:t>Proposal 24</w:t>
        </w:r>
        <w:r>
          <w:rPr>
            <w:rFonts w:asciiTheme="minorHAnsi" w:eastAsiaTheme="minorEastAsia" w:hAnsiTheme="minorHAnsi"/>
            <w:b w:val="0"/>
            <w:noProof/>
            <w:sz w:val="22"/>
            <w:lang w:val="sv-SE" w:eastAsia="sv-SE"/>
          </w:rPr>
          <w:tab/>
        </w:r>
        <w:r w:rsidRPr="00EA4E1A">
          <w:rPr>
            <w:rStyle w:val="Hyperlink"/>
            <w:noProof/>
            <w:lang w:eastAsia="ja-JP"/>
          </w:rPr>
          <w:t xml:space="preserve">Desired/Provided Guard Symbols are signaled to cover all relevant switching combinations among Case #1, Case #6 and Case #7 timing alignments in </w:t>
        </w:r>
        <w:r w:rsidRPr="00EA4E1A">
          <w:rPr>
            <w:rStyle w:val="Hyperlink"/>
            <w:noProof/>
          </w:rPr>
          <w:t>Figure 6</w:t>
        </w:r>
        <w:r w:rsidRPr="00EA4E1A">
          <w:rPr>
            <w:rStyle w:val="Hyperlink"/>
            <w:noProof/>
            <w:lang w:eastAsia="ja-JP"/>
          </w:rPr>
          <w:t>c):  Guard symbols may be needed when the IAB-node transitions:</w:t>
        </w:r>
      </w:hyperlink>
    </w:p>
    <w:p w14:paraId="62F00A7B" w14:textId="456D41F2"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4" w:history="1">
        <w:r w:rsidRPr="00EA4E1A">
          <w:rPr>
            <w:rStyle w:val="Hyperlink"/>
            <w:rFonts w:ascii="Symbol" w:hAnsi="Symbol"/>
            <w:noProof/>
            <w:lang w:eastAsia="ja-JP"/>
          </w:rPr>
          <w:t></w:t>
        </w:r>
        <w:r>
          <w:rPr>
            <w:rFonts w:asciiTheme="minorHAnsi" w:eastAsiaTheme="minorEastAsia" w:hAnsiTheme="minorHAnsi"/>
            <w:b w:val="0"/>
            <w:noProof/>
            <w:sz w:val="22"/>
            <w:lang w:val="sv-SE" w:eastAsia="sv-SE"/>
          </w:rPr>
          <w:tab/>
        </w:r>
        <w:r w:rsidRPr="00EA4E1A">
          <w:rPr>
            <w:rStyle w:val="Hyperlink"/>
            <w:noProof/>
            <w:lang w:eastAsia="ja-JP"/>
          </w:rPr>
          <w:t>Case #6 MT UL TX -&gt; Case #1 DU UL RX</w:t>
        </w:r>
      </w:hyperlink>
    </w:p>
    <w:p w14:paraId="2DCF0E31" w14:textId="70061BF0"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5" w:history="1">
        <w:r w:rsidRPr="00EA4E1A">
          <w:rPr>
            <w:rStyle w:val="Hyperlink"/>
            <w:rFonts w:ascii="Symbol" w:hAnsi="Symbol"/>
            <w:noProof/>
            <w:lang w:eastAsia="ja-JP"/>
          </w:rPr>
          <w:t></w:t>
        </w:r>
        <w:r>
          <w:rPr>
            <w:rFonts w:asciiTheme="minorHAnsi" w:eastAsiaTheme="minorEastAsia" w:hAnsiTheme="minorHAnsi"/>
            <w:b w:val="0"/>
            <w:noProof/>
            <w:sz w:val="22"/>
            <w:lang w:val="sv-SE" w:eastAsia="sv-SE"/>
          </w:rPr>
          <w:tab/>
        </w:r>
        <w:r w:rsidRPr="00EA4E1A">
          <w:rPr>
            <w:rStyle w:val="Hyperlink"/>
            <w:noProof/>
            <w:lang w:eastAsia="ja-JP"/>
          </w:rPr>
          <w:t>Case #6 MT UL TX -&gt; Case #7 DU UL RX</w:t>
        </w:r>
      </w:hyperlink>
    </w:p>
    <w:p w14:paraId="7B602ACA" w14:textId="5CC83662"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6" w:history="1">
        <w:r w:rsidRPr="00EA4E1A">
          <w:rPr>
            <w:rStyle w:val="Hyperlink"/>
            <w:rFonts w:ascii="Symbol" w:hAnsi="Symbol" w:cs="Arial"/>
            <w:noProof/>
          </w:rPr>
          <w:t></w:t>
        </w:r>
        <w:r>
          <w:rPr>
            <w:rFonts w:asciiTheme="minorHAnsi" w:eastAsiaTheme="minorEastAsia" w:hAnsiTheme="minorHAnsi"/>
            <w:b w:val="0"/>
            <w:noProof/>
            <w:sz w:val="22"/>
            <w:lang w:val="sv-SE" w:eastAsia="sv-SE"/>
          </w:rPr>
          <w:tab/>
        </w:r>
        <w:r w:rsidRPr="00EA4E1A">
          <w:rPr>
            <w:rStyle w:val="Hyperlink"/>
            <w:noProof/>
            <w:lang w:eastAsia="ja-JP"/>
          </w:rPr>
          <w:t>Case #7 DU UL RX -&gt; Case #6 MT UL TX</w:t>
        </w:r>
      </w:hyperlink>
    </w:p>
    <w:p w14:paraId="3356820B" w14:textId="00116E5F"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7" w:history="1">
        <w:r w:rsidRPr="00EA4E1A">
          <w:rPr>
            <w:rStyle w:val="Hyperlink"/>
            <w:noProof/>
            <w:lang w:eastAsia="ja-JP"/>
            <w14:scene3d>
              <w14:camera w14:prst="orthographicFront"/>
              <w14:lightRig w14:rig="threePt" w14:dir="t">
                <w14:rot w14:lat="0" w14:lon="0" w14:rev="0"/>
              </w14:lightRig>
            </w14:scene3d>
          </w:rPr>
          <w:t>Proposal 25</w:t>
        </w:r>
        <w:r>
          <w:rPr>
            <w:rFonts w:asciiTheme="minorHAnsi" w:eastAsiaTheme="minorEastAsia" w:hAnsiTheme="minorHAnsi"/>
            <w:b w:val="0"/>
            <w:noProof/>
            <w:sz w:val="22"/>
            <w:lang w:val="sv-SE" w:eastAsia="sv-SE"/>
          </w:rPr>
          <w:tab/>
        </w:r>
        <w:r w:rsidRPr="00EA4E1A">
          <w:rPr>
            <w:rStyle w:val="Hyperlink"/>
            <w:noProof/>
            <w:lang w:eastAsia="ja-JP"/>
          </w:rPr>
          <w:t>Include new RRC parameters which are needed to support dynamic indication of frequency domain soft resource availability to the list of upper layer parameters for eIAB physical layer operation.</w:t>
        </w:r>
      </w:hyperlink>
    </w:p>
    <w:p w14:paraId="18C7A0D0" w14:textId="6F1366D6"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8" w:history="1">
        <w:r w:rsidRPr="00EA4E1A">
          <w:rPr>
            <w:rStyle w:val="Hyperlink"/>
            <w:rFonts w:cs="Arial"/>
            <w:noProof/>
            <w14:scene3d>
              <w14:camera w14:prst="orthographicFront"/>
              <w14:lightRig w14:rig="threePt" w14:dir="t">
                <w14:rot w14:lat="0" w14:lon="0" w14:rev="0"/>
              </w14:lightRig>
            </w14:scene3d>
          </w:rPr>
          <w:t>Proposal 26</w:t>
        </w:r>
        <w:r>
          <w:rPr>
            <w:rFonts w:asciiTheme="minorHAnsi" w:eastAsiaTheme="minorEastAsia" w:hAnsiTheme="minorHAnsi"/>
            <w:b w:val="0"/>
            <w:noProof/>
            <w:sz w:val="22"/>
            <w:lang w:val="sv-SE" w:eastAsia="sv-SE"/>
          </w:rPr>
          <w:tab/>
        </w:r>
        <w:r w:rsidRPr="00EA4E1A">
          <w:rPr>
            <w:rStyle w:val="Hyperlink"/>
            <w:noProof/>
          </w:rPr>
          <w:t>For directional collision handling in IAB inter-donor and intra-donor DC scenarios, introduce the following capabilities and RRC parameters</w:t>
        </w:r>
      </w:hyperlink>
    </w:p>
    <w:p w14:paraId="3D71039C" w14:textId="48BCF0D8"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69" w:history="1">
        <w:r w:rsidRPr="00EA4E1A">
          <w:rPr>
            <w:rStyle w:val="Hyperlink"/>
            <w:rFonts w:ascii="Symbol" w:hAnsi="Symbol" w:cs="Arial"/>
            <w:noProof/>
          </w:rPr>
          <w:t></w:t>
        </w:r>
        <w:r>
          <w:rPr>
            <w:rFonts w:asciiTheme="minorHAnsi" w:eastAsiaTheme="minorEastAsia" w:hAnsiTheme="minorHAnsi"/>
            <w:b w:val="0"/>
            <w:noProof/>
            <w:sz w:val="22"/>
            <w:lang w:val="sv-SE" w:eastAsia="sv-SE"/>
          </w:rPr>
          <w:tab/>
        </w:r>
        <w:r w:rsidRPr="00EA4E1A">
          <w:rPr>
            <w:rStyle w:val="Hyperlink"/>
            <w:rFonts w:cs="Arial"/>
            <w:noProof/>
          </w:rPr>
          <w:t>simultaneousRXTXIABInterDonorDC capability</w:t>
        </w:r>
      </w:hyperlink>
    </w:p>
    <w:p w14:paraId="33A44C6B" w14:textId="58BDA31F"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0" w:history="1">
        <w:r w:rsidRPr="00EA4E1A">
          <w:rPr>
            <w:rStyle w:val="Hyperlink"/>
            <w:rFonts w:ascii="Symbol" w:hAnsi="Symbol" w:cs="Arial"/>
            <w:noProof/>
          </w:rPr>
          <w:t></w:t>
        </w:r>
        <w:r>
          <w:rPr>
            <w:rFonts w:asciiTheme="minorHAnsi" w:eastAsiaTheme="minorEastAsia" w:hAnsiTheme="minorHAnsi"/>
            <w:b w:val="0"/>
            <w:noProof/>
            <w:sz w:val="22"/>
            <w:lang w:val="sv-SE" w:eastAsia="sv-SE"/>
          </w:rPr>
          <w:tab/>
        </w:r>
        <w:r w:rsidRPr="00EA4E1A">
          <w:rPr>
            <w:rStyle w:val="Hyperlink"/>
            <w:rFonts w:cs="Arial"/>
            <w:noProof/>
          </w:rPr>
          <w:t>simultaneousRXTXIABIntraDonorDC capability</w:t>
        </w:r>
      </w:hyperlink>
    </w:p>
    <w:p w14:paraId="4114690E" w14:textId="57C08FBE"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1" w:history="1">
        <w:r w:rsidRPr="00EA4E1A">
          <w:rPr>
            <w:rStyle w:val="Hyperlink"/>
            <w:rFonts w:ascii="Symbol" w:hAnsi="Symbol" w:cs="Arial"/>
            <w:noProof/>
          </w:rPr>
          <w:t></w:t>
        </w:r>
        <w:r>
          <w:rPr>
            <w:rFonts w:asciiTheme="minorHAnsi" w:eastAsiaTheme="minorEastAsia" w:hAnsiTheme="minorHAnsi"/>
            <w:b w:val="0"/>
            <w:noProof/>
            <w:sz w:val="22"/>
            <w:lang w:val="sv-SE" w:eastAsia="sv-SE"/>
          </w:rPr>
          <w:tab/>
        </w:r>
        <w:r w:rsidRPr="00EA4E1A">
          <w:rPr>
            <w:rStyle w:val="Hyperlink"/>
            <w:rFonts w:cs="Arial"/>
            <w:noProof/>
          </w:rPr>
          <w:t>half-DuplexTDD-IABNRDC-r17 capability</w:t>
        </w:r>
      </w:hyperlink>
    </w:p>
    <w:p w14:paraId="470F232A" w14:textId="5BCF849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2" w:history="1">
        <w:r w:rsidRPr="00EA4E1A">
          <w:rPr>
            <w:rStyle w:val="Hyperlink"/>
            <w:rFonts w:cs="Arial"/>
            <w:noProof/>
            <w14:scene3d>
              <w14:camera w14:prst="orthographicFront"/>
              <w14:lightRig w14:rig="threePt" w14:dir="t">
                <w14:rot w14:lat="0" w14:lon="0" w14:rev="0"/>
              </w14:lightRig>
            </w14:scene3d>
          </w:rPr>
          <w:t>Proposal 27</w:t>
        </w:r>
        <w:r>
          <w:rPr>
            <w:rFonts w:asciiTheme="minorHAnsi" w:eastAsiaTheme="minorEastAsia" w:hAnsiTheme="minorHAnsi"/>
            <w:b w:val="0"/>
            <w:noProof/>
            <w:sz w:val="22"/>
            <w:lang w:val="sv-SE" w:eastAsia="sv-SE"/>
          </w:rPr>
          <w:tab/>
        </w:r>
        <w:r w:rsidRPr="00EA4E1A">
          <w:rPr>
            <w:rStyle w:val="Hyperlink"/>
            <w:noProof/>
          </w:rPr>
          <w:t>For directional collision handling in IAB inter-donor and intra-donor DC scenarios, RAN1 decides whether or not a new RRC signal should be introduced:</w:t>
        </w:r>
      </w:hyperlink>
    </w:p>
    <w:p w14:paraId="2AC4DD5F" w14:textId="70447B3D"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3" w:history="1">
        <w:r w:rsidRPr="00EA4E1A">
          <w:rPr>
            <w:rStyle w:val="Hyperlink"/>
            <w:rFonts w:cs="Arial"/>
            <w:noProof/>
          </w:rPr>
          <w:t xml:space="preserve">Alt1: reuse the Rel-16 RRC parameter </w:t>
        </w:r>
        <w:r w:rsidRPr="00EA4E1A">
          <w:rPr>
            <w:rStyle w:val="Hyperlink"/>
            <w:rFonts w:cs="Arial"/>
            <w:i/>
            <w:iCs/>
            <w:noProof/>
          </w:rPr>
          <w:t>directionalCollisionHandling-r17</w:t>
        </w:r>
      </w:hyperlink>
    </w:p>
    <w:p w14:paraId="5D6D5A8E" w14:textId="307C9D4C"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4" w:history="1">
        <w:r w:rsidRPr="00EA4E1A">
          <w:rPr>
            <w:rStyle w:val="Hyperlink"/>
            <w:rFonts w:cs="Arial"/>
            <w:noProof/>
          </w:rPr>
          <w:t xml:space="preserve">Alt2: introduce the new RRC parameter </w:t>
        </w:r>
        <w:r w:rsidRPr="00EA4E1A">
          <w:rPr>
            <w:rStyle w:val="Hyperlink"/>
            <w:rFonts w:cs="Arial"/>
            <w:i/>
            <w:iCs/>
            <w:noProof/>
          </w:rPr>
          <w:t>IABDCdirectionalCollisionHandling-r17</w:t>
        </w:r>
      </w:hyperlink>
    </w:p>
    <w:p w14:paraId="4737D9A5" w14:textId="40B79B94"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5" w:history="1">
        <w:r w:rsidRPr="00EA4E1A">
          <w:rPr>
            <w:rStyle w:val="Hyperlink"/>
            <w:noProof/>
            <w14:scene3d>
              <w14:camera w14:prst="orthographicFront"/>
              <w14:lightRig w14:rig="threePt" w14:dir="t">
                <w14:rot w14:lat="0" w14:lon="0" w14:rev="0"/>
              </w14:lightRig>
            </w14:scene3d>
          </w:rPr>
          <w:t>Proposal 28</w:t>
        </w:r>
        <w:r>
          <w:rPr>
            <w:rFonts w:asciiTheme="minorHAnsi" w:eastAsiaTheme="minorEastAsia" w:hAnsiTheme="minorHAnsi"/>
            <w:b w:val="0"/>
            <w:noProof/>
            <w:sz w:val="22"/>
            <w:lang w:val="sv-SE" w:eastAsia="sv-SE"/>
          </w:rPr>
          <w:tab/>
        </w:r>
        <w:r w:rsidRPr="00EA4E1A">
          <w:rPr>
            <w:rStyle w:val="Hyperlink"/>
            <w:noProof/>
          </w:rPr>
          <w:t>Include the following for the value range of P02 in the RRC parameters for eIAB:</w:t>
        </w:r>
      </w:hyperlink>
    </w:p>
    <w:p w14:paraId="44A56389" w14:textId="2D0C23A5" w:rsidR="00F201E9" w:rsidRDefault="00F201E9" w:rsidP="00F201E9">
      <w:pPr>
        <w:pStyle w:val="TableofFigures"/>
        <w:tabs>
          <w:tab w:val="right" w:leader="dot" w:pos="9629"/>
        </w:tabs>
        <w:jc w:val="both"/>
        <w:rPr>
          <w:rFonts w:asciiTheme="minorHAnsi" w:eastAsiaTheme="minorEastAsia" w:hAnsiTheme="minorHAnsi"/>
          <w:b w:val="0"/>
          <w:noProof/>
          <w:sz w:val="22"/>
          <w:lang w:val="sv-SE" w:eastAsia="sv-SE"/>
        </w:rPr>
      </w:pPr>
      <w:hyperlink w:anchor="_Toc87042276" w:history="1">
        <w:r w:rsidRPr="00EA4E1A">
          <w:rPr>
            <w:rStyle w:val="Hyperlink"/>
            <w:noProof/>
          </w:rPr>
          <w:t>N is at least the # PRBs corresponding to the MT’s configured # PRB of an RBG.</w:t>
        </w:r>
      </w:hyperlink>
    </w:p>
    <w:p w14:paraId="20BAE1DB" w14:textId="17E85B62" w:rsidR="006E1C82" w:rsidRPr="00521A4E" w:rsidRDefault="006E1C82" w:rsidP="00F201E9">
      <w:pPr>
        <w:pStyle w:val="BodyText"/>
        <w:rPr>
          <w:b/>
          <w:bCs/>
        </w:rPr>
      </w:pPr>
      <w:r w:rsidRPr="00521A4E">
        <w:rPr>
          <w:b/>
        </w:rPr>
        <w:fldChar w:fldCharType="end"/>
      </w:r>
    </w:p>
    <w:p w14:paraId="3C775E22" w14:textId="77777777" w:rsidR="00F507D1" w:rsidRPr="00521A4E" w:rsidRDefault="00F507D1" w:rsidP="007E3B07">
      <w:pPr>
        <w:pStyle w:val="Heading1"/>
        <w:jc w:val="both"/>
        <w:rPr>
          <w:lang w:val="en-US"/>
        </w:rPr>
      </w:pPr>
      <w:bookmarkStart w:id="249" w:name="_In-sequence_SDU_delivery"/>
      <w:bookmarkEnd w:id="249"/>
      <w:r w:rsidRPr="00521A4E">
        <w:rPr>
          <w:lang w:val="en-US"/>
        </w:rPr>
        <w:lastRenderedPageBreak/>
        <w:t>References</w:t>
      </w:r>
    </w:p>
    <w:p w14:paraId="5FC06FC3" w14:textId="62942A24" w:rsidR="003A371B" w:rsidRPr="00521A4E" w:rsidRDefault="00A5452E" w:rsidP="007E3B07">
      <w:pPr>
        <w:pStyle w:val="Reference"/>
        <w:spacing w:after="160"/>
      </w:pPr>
      <w:bookmarkStart w:id="250" w:name="_Ref534962701"/>
      <w:bookmarkStart w:id="251" w:name="_Ref57281096"/>
      <w:r w:rsidRPr="00521A4E">
        <w:t xml:space="preserve">RP-211548, “New WID on Enhancements to Integrated Access and Backhaul,” Qualcomm, RAN #92e, June </w:t>
      </w:r>
      <w:bookmarkEnd w:id="250"/>
      <w:r w:rsidRPr="00521A4E">
        <w:t>2021</w:t>
      </w:r>
      <w:r w:rsidR="003A371B" w:rsidRPr="00521A4E">
        <w:rPr>
          <w:rFonts w:cs="Arial"/>
        </w:rPr>
        <w:t>.</w:t>
      </w:r>
    </w:p>
    <w:p w14:paraId="748C6AC5" w14:textId="3EF21AA4" w:rsidR="003A371B" w:rsidRPr="00521A4E" w:rsidRDefault="00F10136" w:rsidP="007E3B07">
      <w:pPr>
        <w:pStyle w:val="Reference"/>
        <w:spacing w:after="160"/>
      </w:pPr>
      <w:bookmarkStart w:id="252" w:name="_Ref61862761"/>
      <w:bookmarkStart w:id="253" w:name="_Ref70113715"/>
      <w:r w:rsidRPr="00521A4E">
        <w:rPr>
          <w:rFonts w:cs="Arial"/>
        </w:rPr>
        <w:t>R1-211</w:t>
      </w:r>
      <w:r w:rsidR="003F66CA" w:rsidRPr="00521A4E">
        <w:rPr>
          <w:rFonts w:cs="Arial"/>
        </w:rPr>
        <w:t>2357</w:t>
      </w:r>
      <w:r w:rsidR="003A371B" w:rsidRPr="00521A4E">
        <w:rPr>
          <w:rFonts w:cs="Arial"/>
        </w:rPr>
        <w:t>, “Timing, interference management and power control in enhanced IAB,” Ericsson, RAN1 #10</w:t>
      </w:r>
      <w:r w:rsidR="00C10E04" w:rsidRPr="00521A4E">
        <w:rPr>
          <w:rFonts w:cs="Arial"/>
        </w:rPr>
        <w:t>7</w:t>
      </w:r>
      <w:r w:rsidR="003A371B" w:rsidRPr="00521A4E">
        <w:rPr>
          <w:rFonts w:cs="Arial"/>
        </w:rPr>
        <w:t xml:space="preserve">-e, </w:t>
      </w:r>
      <w:r w:rsidR="00C10E04" w:rsidRPr="00521A4E">
        <w:rPr>
          <w:rFonts w:cs="Arial"/>
        </w:rPr>
        <w:t>November</w:t>
      </w:r>
      <w:r w:rsidR="003A371B" w:rsidRPr="00521A4E">
        <w:rPr>
          <w:rFonts w:cs="Arial"/>
        </w:rPr>
        <w:t xml:space="preserve"> 2021</w:t>
      </w:r>
      <w:bookmarkEnd w:id="252"/>
      <w:r w:rsidR="003A371B" w:rsidRPr="00521A4E">
        <w:rPr>
          <w:rFonts w:cs="Arial"/>
        </w:rPr>
        <w:t>.</w:t>
      </w:r>
      <w:bookmarkEnd w:id="253"/>
    </w:p>
    <w:p w14:paraId="49E90D17" w14:textId="3AE726C5" w:rsidR="003A371B" w:rsidRPr="00521A4E" w:rsidRDefault="00F10136" w:rsidP="007E3B07">
      <w:pPr>
        <w:pStyle w:val="Reference"/>
        <w:spacing w:after="160"/>
        <w:rPr>
          <w:rFonts w:cs="Arial"/>
        </w:rPr>
      </w:pPr>
      <w:bookmarkStart w:id="254" w:name="_Ref71616395"/>
      <w:r w:rsidRPr="00521A4E">
        <w:rPr>
          <w:rFonts w:cs="Arial"/>
        </w:rPr>
        <w:t>R1-21</w:t>
      </w:r>
      <w:r w:rsidR="003F66CA" w:rsidRPr="00521A4E">
        <w:rPr>
          <w:rFonts w:cs="Arial"/>
        </w:rPr>
        <w:t>12358</w:t>
      </w:r>
      <w:r w:rsidRPr="00521A4E">
        <w:rPr>
          <w:rFonts w:cs="Arial"/>
        </w:rPr>
        <w:t>,</w:t>
      </w:r>
      <w:r w:rsidR="003A371B" w:rsidRPr="00521A4E">
        <w:rPr>
          <w:rFonts w:cs="Arial"/>
        </w:rPr>
        <w:t xml:space="preserve"> “</w:t>
      </w:r>
      <w:r w:rsidR="00C10E04" w:rsidRPr="00521A4E">
        <w:rPr>
          <w:rFonts w:cs="Arial"/>
        </w:rPr>
        <w:t>Prioritization of remining work in eIAB</w:t>
      </w:r>
      <w:r w:rsidR="003A371B" w:rsidRPr="00521A4E">
        <w:rPr>
          <w:rFonts w:cs="Arial"/>
        </w:rPr>
        <w:t>,” Ericsson, RAN1 #10</w:t>
      </w:r>
      <w:r w:rsidR="00C10E04" w:rsidRPr="00521A4E">
        <w:rPr>
          <w:rFonts w:cs="Arial"/>
        </w:rPr>
        <w:t>7</w:t>
      </w:r>
      <w:r w:rsidR="003A371B" w:rsidRPr="00521A4E">
        <w:rPr>
          <w:rFonts w:cs="Arial"/>
        </w:rPr>
        <w:t xml:space="preserve">-e, </w:t>
      </w:r>
      <w:r w:rsidR="00C10E04" w:rsidRPr="00521A4E">
        <w:rPr>
          <w:rFonts w:cs="Arial"/>
        </w:rPr>
        <w:t>November</w:t>
      </w:r>
      <w:r w:rsidR="003F23E8" w:rsidRPr="00521A4E">
        <w:rPr>
          <w:rFonts w:cs="Arial"/>
        </w:rPr>
        <w:t xml:space="preserve"> </w:t>
      </w:r>
      <w:r w:rsidR="003A371B" w:rsidRPr="00521A4E">
        <w:rPr>
          <w:rFonts w:cs="Arial"/>
        </w:rPr>
        <w:t>2021.</w:t>
      </w:r>
      <w:bookmarkEnd w:id="254"/>
    </w:p>
    <w:p w14:paraId="0EF2A256" w14:textId="66BA1E63" w:rsidR="00A8063D" w:rsidRPr="00521A4E" w:rsidRDefault="00A8063D" w:rsidP="007E3B07">
      <w:pPr>
        <w:pStyle w:val="Reference"/>
        <w:spacing w:after="160"/>
      </w:pPr>
      <w:bookmarkStart w:id="255" w:name="_Ref85313944"/>
      <w:r w:rsidRPr="00521A4E">
        <w:rPr>
          <w:rFonts w:cs="Arial"/>
        </w:rPr>
        <w:t>“Chairman’s Notes”, 3GPP TSG RAN WG1 Meeting #106bis-e, October 2021.</w:t>
      </w:r>
      <w:bookmarkEnd w:id="255"/>
    </w:p>
    <w:p w14:paraId="66E87AF3" w14:textId="566118A4" w:rsidR="00BA61BA" w:rsidRPr="00521A4E" w:rsidRDefault="00BA61BA" w:rsidP="007E3B07">
      <w:pPr>
        <w:pStyle w:val="Reference"/>
        <w:spacing w:after="160"/>
      </w:pPr>
      <w:bookmarkStart w:id="256" w:name="_Ref74242731"/>
      <w:bookmarkStart w:id="257" w:name="_Ref70195782"/>
      <w:bookmarkStart w:id="258" w:name="_Ref68031170"/>
      <w:r w:rsidRPr="00521A4E">
        <w:rPr>
          <w:rFonts w:cs="Arial"/>
        </w:rPr>
        <w:t>“Chair</w:t>
      </w:r>
      <w:r w:rsidR="00A6666A" w:rsidRPr="00521A4E">
        <w:rPr>
          <w:rFonts w:cs="Arial"/>
        </w:rPr>
        <w:t>man</w:t>
      </w:r>
      <w:r w:rsidRPr="00521A4E">
        <w:rPr>
          <w:rFonts w:cs="Arial"/>
        </w:rPr>
        <w:t>’s Notes”, 3GPP TSG RAN WG1 Meeting #10</w:t>
      </w:r>
      <w:r w:rsidR="003F23E8" w:rsidRPr="00521A4E">
        <w:rPr>
          <w:rFonts w:cs="Arial"/>
        </w:rPr>
        <w:t>6</w:t>
      </w:r>
      <w:r w:rsidRPr="00521A4E">
        <w:rPr>
          <w:rFonts w:cs="Arial"/>
        </w:rPr>
        <w:t>-e, A</w:t>
      </w:r>
      <w:r w:rsidR="003F23E8" w:rsidRPr="00521A4E">
        <w:rPr>
          <w:rFonts w:cs="Arial"/>
        </w:rPr>
        <w:t>ugust</w:t>
      </w:r>
      <w:r w:rsidRPr="00521A4E">
        <w:rPr>
          <w:rFonts w:cs="Arial"/>
        </w:rPr>
        <w:t xml:space="preserve"> 2021.</w:t>
      </w:r>
      <w:bookmarkEnd w:id="256"/>
    </w:p>
    <w:p w14:paraId="0B94674D" w14:textId="2AC4A7C8" w:rsidR="00A20CEC" w:rsidRPr="00521A4E" w:rsidRDefault="00A20CEC" w:rsidP="007E3B07">
      <w:pPr>
        <w:pStyle w:val="Reference"/>
        <w:spacing w:after="160"/>
      </w:pPr>
      <w:bookmarkStart w:id="259" w:name="_Ref70110054"/>
      <w:r w:rsidRPr="00521A4E">
        <w:rPr>
          <w:rFonts w:cs="Arial"/>
        </w:rPr>
        <w:t>TS 38.214 “NR; Physical layer procedures for data (Release 16),” 3GPP, V16.</w:t>
      </w:r>
      <w:r w:rsidR="009A2725" w:rsidRPr="00521A4E">
        <w:rPr>
          <w:rFonts w:cs="Arial"/>
        </w:rPr>
        <w:t>7</w:t>
      </w:r>
      <w:r w:rsidRPr="00521A4E">
        <w:rPr>
          <w:rFonts w:cs="Arial"/>
        </w:rPr>
        <w:t xml:space="preserve">.0, </w:t>
      </w:r>
      <w:r w:rsidR="009A2725" w:rsidRPr="00521A4E">
        <w:rPr>
          <w:rFonts w:cs="Arial"/>
        </w:rPr>
        <w:t>September</w:t>
      </w:r>
      <w:r w:rsidRPr="00521A4E">
        <w:rPr>
          <w:rFonts w:cs="Arial"/>
        </w:rPr>
        <w:t xml:space="preserve"> 2021</w:t>
      </w:r>
      <w:bookmarkEnd w:id="259"/>
      <w:r w:rsidR="00055DB1" w:rsidRPr="00521A4E">
        <w:rPr>
          <w:rFonts w:cs="Arial"/>
        </w:rPr>
        <w:t>.</w:t>
      </w:r>
    </w:p>
    <w:p w14:paraId="6BD49C80" w14:textId="3DBE78CC" w:rsidR="00734F62" w:rsidRPr="00521A4E" w:rsidRDefault="00734F62" w:rsidP="007E3B07">
      <w:pPr>
        <w:pStyle w:val="Reference"/>
        <w:spacing w:after="160"/>
      </w:pPr>
      <w:bookmarkStart w:id="260" w:name="_Ref71662548"/>
      <w:r w:rsidRPr="00521A4E">
        <w:t>TS 38.213, “NR; Physical layer procedures for control (Release 16)”, 3GPP, V16.</w:t>
      </w:r>
      <w:r w:rsidR="009A2725" w:rsidRPr="00521A4E">
        <w:t>7</w:t>
      </w:r>
      <w:r w:rsidRPr="00521A4E">
        <w:t xml:space="preserve">.0, </w:t>
      </w:r>
      <w:r w:rsidR="009A2725" w:rsidRPr="00521A4E">
        <w:t>September</w:t>
      </w:r>
      <w:r w:rsidRPr="00521A4E">
        <w:t xml:space="preserve"> 2021.</w:t>
      </w:r>
      <w:bookmarkEnd w:id="260"/>
    </w:p>
    <w:p w14:paraId="098DBA87" w14:textId="77777777" w:rsidR="0093488E" w:rsidRPr="00521A4E" w:rsidRDefault="0093488E" w:rsidP="007E3B07">
      <w:pPr>
        <w:pStyle w:val="Reference"/>
      </w:pPr>
      <w:bookmarkStart w:id="261" w:name="_Ref85826876"/>
      <w:r w:rsidRPr="00521A4E">
        <w:t>R1-2110443, “Feature Lead Summary #2 of 8.10.1,” Moderator (AT&amp;T), RAN1 # 106bis-e, October 2021.</w:t>
      </w:r>
      <w:bookmarkEnd w:id="261"/>
    </w:p>
    <w:p w14:paraId="4F2CED05" w14:textId="5B3A4CCD" w:rsidR="0093488E" w:rsidRPr="00521A4E" w:rsidRDefault="0093488E" w:rsidP="007E3B07">
      <w:pPr>
        <w:pStyle w:val="Reference"/>
        <w:spacing w:after="160"/>
      </w:pPr>
      <w:bookmarkStart w:id="262" w:name="_Ref74586963"/>
      <w:r w:rsidRPr="00521A4E">
        <w:t>TS 38.473, “NG-RAN; F1 Application Protocol (F1AP)”, 3GPP, V16.6.0, July 2021.</w:t>
      </w:r>
      <w:bookmarkEnd w:id="262"/>
    </w:p>
    <w:p w14:paraId="5EC7B611" w14:textId="1E5F726F" w:rsidR="00F52382" w:rsidRPr="00521A4E" w:rsidRDefault="00F52382" w:rsidP="007E3B07">
      <w:pPr>
        <w:pStyle w:val="Reference"/>
        <w:spacing w:after="160"/>
      </w:pPr>
      <w:bookmarkStart w:id="263" w:name="_Ref83892045"/>
      <w:r w:rsidRPr="00521A4E">
        <w:rPr>
          <w:rFonts w:cs="Arial"/>
        </w:rPr>
        <w:t>“Chairman’s Notes”, 3GPP TSG RAN WG1 Meeting #105-e, April 2021.</w:t>
      </w:r>
      <w:bookmarkEnd w:id="263"/>
    </w:p>
    <w:p w14:paraId="2B88FE4F" w14:textId="77777777" w:rsidR="00454743" w:rsidRPr="00521A4E" w:rsidRDefault="00454743" w:rsidP="007E3B07">
      <w:pPr>
        <w:pStyle w:val="Reference"/>
        <w:spacing w:after="160"/>
        <w:rPr>
          <w:rFonts w:cs="Arial"/>
        </w:rPr>
      </w:pPr>
      <w:bookmarkStart w:id="264" w:name="_Ref74242597"/>
      <w:r w:rsidRPr="00521A4E">
        <w:rPr>
          <w:rFonts w:cs="Arial"/>
        </w:rPr>
        <w:t>R1-2105840, “Discussion on the payload size of the DCI format 2_5,” Ericsson, RAN1 #105-e, May 2021.</w:t>
      </w:r>
      <w:bookmarkEnd w:id="264"/>
    </w:p>
    <w:p w14:paraId="4190F20B" w14:textId="6067B258" w:rsidR="00454743" w:rsidRPr="00521A4E" w:rsidRDefault="00454743" w:rsidP="007E3B07">
      <w:pPr>
        <w:pStyle w:val="Reference"/>
        <w:spacing w:after="160"/>
      </w:pPr>
      <w:bookmarkStart w:id="265" w:name="_Ref71663095"/>
      <w:r w:rsidRPr="00521A4E">
        <w:t>TS 38.212, “NR; Multiplexing and channel coding (Release 16)”, 3GPP, V16.</w:t>
      </w:r>
      <w:r w:rsidR="009A2725" w:rsidRPr="00521A4E">
        <w:t>7</w:t>
      </w:r>
      <w:r w:rsidRPr="00521A4E">
        <w:t xml:space="preserve">.0, </w:t>
      </w:r>
      <w:r w:rsidR="009A2725" w:rsidRPr="00521A4E">
        <w:t>September</w:t>
      </w:r>
      <w:r w:rsidRPr="00521A4E">
        <w:t xml:space="preserve"> 2021.</w:t>
      </w:r>
      <w:bookmarkEnd w:id="265"/>
    </w:p>
    <w:p w14:paraId="6B68FF34" w14:textId="757F932C" w:rsidR="00454743" w:rsidRPr="00521A4E" w:rsidRDefault="00454743" w:rsidP="007E3B07">
      <w:pPr>
        <w:pStyle w:val="Reference"/>
        <w:spacing w:after="160"/>
        <w:rPr>
          <w:rFonts w:cs="Arial"/>
        </w:rPr>
      </w:pPr>
      <w:bookmarkStart w:id="266" w:name="_Ref81601641"/>
      <w:r w:rsidRPr="00521A4E">
        <w:rPr>
          <w:rFonts w:cs="Arial"/>
        </w:rPr>
        <w:t>R1-2108109, “Discussion on overlapping DCI format 2_5 indications,” Ericsson, RAN1 #106-e, August 2021.</w:t>
      </w:r>
      <w:bookmarkEnd w:id="266"/>
    </w:p>
    <w:p w14:paraId="3A3DEB68" w14:textId="0F101A88" w:rsidR="0085065D" w:rsidRPr="00521A4E" w:rsidRDefault="0085065D" w:rsidP="007E3B07">
      <w:pPr>
        <w:pStyle w:val="Reference"/>
        <w:spacing w:after="160"/>
      </w:pPr>
      <w:bookmarkStart w:id="267" w:name="_Ref86922828"/>
      <w:r w:rsidRPr="00521A4E">
        <w:t>TS 38.331, “NR; Radio Resource Control (RRC); Protocol specification (Release 16)”, 3GPP, V16.6.0, September 2021.</w:t>
      </w:r>
      <w:bookmarkEnd w:id="267"/>
    </w:p>
    <w:p w14:paraId="473F9449" w14:textId="19A4964D" w:rsidR="00AF1BFC" w:rsidRPr="00521A4E" w:rsidRDefault="00AF1BFC" w:rsidP="007E3B07">
      <w:pPr>
        <w:pStyle w:val="Reference"/>
      </w:pPr>
      <w:bookmarkStart w:id="268" w:name="_Ref85812092"/>
      <w:bookmarkStart w:id="269" w:name="_Ref83214255"/>
      <w:bookmarkEnd w:id="251"/>
      <w:bookmarkEnd w:id="257"/>
      <w:bookmarkEnd w:id="258"/>
      <w:r w:rsidRPr="00521A4E">
        <w:t>“Draft moderator summary of [106bis-e-R17-RRC-eIAB] Email discussion on Rel-17 RRC parameters for eIAB V004,” Moderator (Qualcomm Incorporated), RAN1#106bis-e, October 2021.</w:t>
      </w:r>
      <w:bookmarkEnd w:id="268"/>
    </w:p>
    <w:bookmarkStart w:id="270" w:name="_Ref85813569"/>
    <w:p w14:paraId="6F4878E4" w14:textId="69BE418D" w:rsidR="00AF1BFC" w:rsidRPr="00521A4E" w:rsidRDefault="00AF1BFC" w:rsidP="007E3B07">
      <w:pPr>
        <w:pStyle w:val="Reference"/>
      </w:pPr>
      <w:r w:rsidRPr="00521A4E">
        <w:fldChar w:fldCharType="begin"/>
      </w:r>
      <w:r w:rsidRPr="00521A4E">
        <w:instrText xml:space="preserve"> HYPERLINK "https://www.3gpp.org/ftp/tsg_ran/WG1_RL1/TSGR1_106-e/Docs/R1-2108685.zip" </w:instrText>
      </w:r>
      <w:r w:rsidRPr="00521A4E">
        <w:fldChar w:fldCharType="separate"/>
      </w:r>
      <w:r w:rsidRPr="00521A4E">
        <w:rPr>
          <w:rStyle w:val="Hyperlink"/>
        </w:rPr>
        <w:t>R1-2018685</w:t>
      </w:r>
      <w:r w:rsidRPr="00521A4E">
        <w:fldChar w:fldCharType="end"/>
      </w:r>
      <w:r w:rsidRPr="00521A4E">
        <w:t>, “[Post-106-e-Rel17-RRC-10] Summary of email discussion on RRC parameters for eIAB,” Moderator (Qualcomm), RAN1 #106-e, August 2021.</w:t>
      </w:r>
      <w:bookmarkEnd w:id="269"/>
      <w:bookmarkEnd w:id="270"/>
    </w:p>
    <w:p w14:paraId="02C05E29" w14:textId="635AEA00" w:rsidR="008C632E" w:rsidRPr="00521A4E" w:rsidRDefault="008C632E" w:rsidP="007E3B07">
      <w:pPr>
        <w:pStyle w:val="Reference"/>
      </w:pPr>
      <w:bookmarkStart w:id="271" w:name="_Ref86962361"/>
      <w:r w:rsidRPr="00521A4E">
        <w:t>TS 38.306, “NR; User Equipment (UE) radio access capabilities (Release 16)”, 3GPP, V16.6.0, September 2021.</w:t>
      </w:r>
      <w:bookmarkEnd w:id="271"/>
    </w:p>
    <w:p w14:paraId="30491E22" w14:textId="0DE2ECAC" w:rsidR="00AF1BFC" w:rsidRPr="00521A4E" w:rsidRDefault="00AF1BFC" w:rsidP="00F364B7">
      <w:pPr>
        <w:pStyle w:val="Reference"/>
        <w:numPr>
          <w:ilvl w:val="0"/>
          <w:numId w:val="0"/>
        </w:numPr>
        <w:spacing w:after="160"/>
        <w:pPrChange w:id="272" w:author="Author">
          <w:pPr>
            <w:pStyle w:val="Reference"/>
            <w:spacing w:after="160"/>
          </w:pPr>
        </w:pPrChange>
      </w:pPr>
    </w:p>
    <w:sectPr w:rsidR="00AF1BFC" w:rsidRPr="00521A4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7D657" w14:textId="77777777" w:rsidR="007E3B07" w:rsidRDefault="007E3B07">
      <w:r>
        <w:separator/>
      </w:r>
    </w:p>
  </w:endnote>
  <w:endnote w:type="continuationSeparator" w:id="0">
    <w:p w14:paraId="7D66C573" w14:textId="77777777" w:rsidR="007E3B07" w:rsidRDefault="007E3B07">
      <w:r>
        <w:continuationSeparator/>
      </w:r>
    </w:p>
  </w:endnote>
  <w:endnote w:type="continuationNotice" w:id="1">
    <w:p w14:paraId="405C9E97" w14:textId="77777777" w:rsidR="007E3B07" w:rsidRDefault="007E3B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13E85" w14:textId="12B7D68D" w:rsidR="007E3B07" w:rsidRDefault="007E3B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56A41" w14:textId="77777777" w:rsidR="007E3B07" w:rsidRDefault="007E3B07">
      <w:r>
        <w:separator/>
      </w:r>
    </w:p>
  </w:footnote>
  <w:footnote w:type="continuationSeparator" w:id="0">
    <w:p w14:paraId="42FEE150" w14:textId="77777777" w:rsidR="007E3B07" w:rsidRDefault="007E3B07">
      <w:r>
        <w:continuationSeparator/>
      </w:r>
    </w:p>
  </w:footnote>
  <w:footnote w:type="continuationNotice" w:id="1">
    <w:p w14:paraId="49EF82AC" w14:textId="77777777" w:rsidR="007E3B07" w:rsidRDefault="007E3B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C6D0" w14:textId="77777777" w:rsidR="007E3B07" w:rsidRDefault="007E3B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833A7"/>
    <w:multiLevelType w:val="multilevel"/>
    <w:tmpl w:val="7042031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 w15:restartNumberingAfterBreak="0">
    <w:nsid w:val="0B503783"/>
    <w:multiLevelType w:val="hybridMultilevel"/>
    <w:tmpl w:val="7CF0689E"/>
    <w:lvl w:ilvl="0" w:tplc="FA1C89A8">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E83EC7"/>
    <w:multiLevelType w:val="hybridMultilevel"/>
    <w:tmpl w:val="58CC12E4"/>
    <w:lvl w:ilvl="0" w:tplc="2D50B548">
      <w:start w:val="1"/>
      <w:numFmt w:val="bullet"/>
      <w:lvlText w:val="•"/>
      <w:lvlJc w:val="left"/>
      <w:pPr>
        <w:tabs>
          <w:tab w:val="num" w:pos="720"/>
        </w:tabs>
        <w:ind w:left="720" w:hanging="360"/>
      </w:pPr>
      <w:rPr>
        <w:rFonts w:ascii="Arial" w:hAnsi="Arial" w:hint="default"/>
      </w:rPr>
    </w:lvl>
    <w:lvl w:ilvl="1" w:tplc="40440432" w:tentative="1">
      <w:start w:val="1"/>
      <w:numFmt w:val="bullet"/>
      <w:lvlText w:val="•"/>
      <w:lvlJc w:val="left"/>
      <w:pPr>
        <w:tabs>
          <w:tab w:val="num" w:pos="1440"/>
        </w:tabs>
        <w:ind w:left="1440" w:hanging="360"/>
      </w:pPr>
      <w:rPr>
        <w:rFonts w:ascii="Arial" w:hAnsi="Arial" w:hint="default"/>
      </w:rPr>
    </w:lvl>
    <w:lvl w:ilvl="2" w:tplc="4F189A16" w:tentative="1">
      <w:start w:val="1"/>
      <w:numFmt w:val="bullet"/>
      <w:lvlText w:val="•"/>
      <w:lvlJc w:val="left"/>
      <w:pPr>
        <w:tabs>
          <w:tab w:val="num" w:pos="2160"/>
        </w:tabs>
        <w:ind w:left="2160" w:hanging="360"/>
      </w:pPr>
      <w:rPr>
        <w:rFonts w:ascii="Arial" w:hAnsi="Arial" w:hint="default"/>
      </w:rPr>
    </w:lvl>
    <w:lvl w:ilvl="3" w:tplc="CA0600F2" w:tentative="1">
      <w:start w:val="1"/>
      <w:numFmt w:val="bullet"/>
      <w:lvlText w:val="•"/>
      <w:lvlJc w:val="left"/>
      <w:pPr>
        <w:tabs>
          <w:tab w:val="num" w:pos="2880"/>
        </w:tabs>
        <w:ind w:left="2880" w:hanging="360"/>
      </w:pPr>
      <w:rPr>
        <w:rFonts w:ascii="Arial" w:hAnsi="Arial" w:hint="default"/>
      </w:rPr>
    </w:lvl>
    <w:lvl w:ilvl="4" w:tplc="7FD80138" w:tentative="1">
      <w:start w:val="1"/>
      <w:numFmt w:val="bullet"/>
      <w:lvlText w:val="•"/>
      <w:lvlJc w:val="left"/>
      <w:pPr>
        <w:tabs>
          <w:tab w:val="num" w:pos="3600"/>
        </w:tabs>
        <w:ind w:left="3600" w:hanging="360"/>
      </w:pPr>
      <w:rPr>
        <w:rFonts w:ascii="Arial" w:hAnsi="Arial" w:hint="default"/>
      </w:rPr>
    </w:lvl>
    <w:lvl w:ilvl="5" w:tplc="301AD286" w:tentative="1">
      <w:start w:val="1"/>
      <w:numFmt w:val="bullet"/>
      <w:lvlText w:val="•"/>
      <w:lvlJc w:val="left"/>
      <w:pPr>
        <w:tabs>
          <w:tab w:val="num" w:pos="4320"/>
        </w:tabs>
        <w:ind w:left="4320" w:hanging="360"/>
      </w:pPr>
      <w:rPr>
        <w:rFonts w:ascii="Arial" w:hAnsi="Arial" w:hint="default"/>
      </w:rPr>
    </w:lvl>
    <w:lvl w:ilvl="6" w:tplc="E904F888" w:tentative="1">
      <w:start w:val="1"/>
      <w:numFmt w:val="bullet"/>
      <w:lvlText w:val="•"/>
      <w:lvlJc w:val="left"/>
      <w:pPr>
        <w:tabs>
          <w:tab w:val="num" w:pos="5040"/>
        </w:tabs>
        <w:ind w:left="5040" w:hanging="360"/>
      </w:pPr>
      <w:rPr>
        <w:rFonts w:ascii="Arial" w:hAnsi="Arial" w:hint="default"/>
      </w:rPr>
    </w:lvl>
    <w:lvl w:ilvl="7" w:tplc="FE2452B8" w:tentative="1">
      <w:start w:val="1"/>
      <w:numFmt w:val="bullet"/>
      <w:lvlText w:val="•"/>
      <w:lvlJc w:val="left"/>
      <w:pPr>
        <w:tabs>
          <w:tab w:val="num" w:pos="5760"/>
        </w:tabs>
        <w:ind w:left="5760" w:hanging="360"/>
      </w:pPr>
      <w:rPr>
        <w:rFonts w:ascii="Arial" w:hAnsi="Arial" w:hint="default"/>
      </w:rPr>
    </w:lvl>
    <w:lvl w:ilvl="8" w:tplc="D938ED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202683"/>
    <w:multiLevelType w:val="hybridMultilevel"/>
    <w:tmpl w:val="506A81D6"/>
    <w:lvl w:ilvl="0" w:tplc="7EC247EE">
      <w:start w:val="1"/>
      <w:numFmt w:val="bullet"/>
      <w:lvlText w:val="•"/>
      <w:lvlJc w:val="left"/>
      <w:pPr>
        <w:tabs>
          <w:tab w:val="num" w:pos="720"/>
        </w:tabs>
        <w:ind w:left="720" w:hanging="360"/>
      </w:pPr>
      <w:rPr>
        <w:rFonts w:ascii="Arial" w:hAnsi="Arial" w:hint="default"/>
      </w:rPr>
    </w:lvl>
    <w:lvl w:ilvl="1" w:tplc="08F86D04" w:tentative="1">
      <w:start w:val="1"/>
      <w:numFmt w:val="bullet"/>
      <w:lvlText w:val="•"/>
      <w:lvlJc w:val="left"/>
      <w:pPr>
        <w:tabs>
          <w:tab w:val="num" w:pos="1440"/>
        </w:tabs>
        <w:ind w:left="1440" w:hanging="360"/>
      </w:pPr>
      <w:rPr>
        <w:rFonts w:ascii="Arial" w:hAnsi="Arial" w:hint="default"/>
      </w:rPr>
    </w:lvl>
    <w:lvl w:ilvl="2" w:tplc="AE523694" w:tentative="1">
      <w:start w:val="1"/>
      <w:numFmt w:val="bullet"/>
      <w:lvlText w:val="•"/>
      <w:lvlJc w:val="left"/>
      <w:pPr>
        <w:tabs>
          <w:tab w:val="num" w:pos="2160"/>
        </w:tabs>
        <w:ind w:left="2160" w:hanging="360"/>
      </w:pPr>
      <w:rPr>
        <w:rFonts w:ascii="Arial" w:hAnsi="Arial" w:hint="default"/>
      </w:rPr>
    </w:lvl>
    <w:lvl w:ilvl="3" w:tplc="24C26E76" w:tentative="1">
      <w:start w:val="1"/>
      <w:numFmt w:val="bullet"/>
      <w:lvlText w:val="•"/>
      <w:lvlJc w:val="left"/>
      <w:pPr>
        <w:tabs>
          <w:tab w:val="num" w:pos="2880"/>
        </w:tabs>
        <w:ind w:left="2880" w:hanging="360"/>
      </w:pPr>
      <w:rPr>
        <w:rFonts w:ascii="Arial" w:hAnsi="Arial" w:hint="default"/>
      </w:rPr>
    </w:lvl>
    <w:lvl w:ilvl="4" w:tplc="046E5626" w:tentative="1">
      <w:start w:val="1"/>
      <w:numFmt w:val="bullet"/>
      <w:lvlText w:val="•"/>
      <w:lvlJc w:val="left"/>
      <w:pPr>
        <w:tabs>
          <w:tab w:val="num" w:pos="3600"/>
        </w:tabs>
        <w:ind w:left="3600" w:hanging="360"/>
      </w:pPr>
      <w:rPr>
        <w:rFonts w:ascii="Arial" w:hAnsi="Arial" w:hint="default"/>
      </w:rPr>
    </w:lvl>
    <w:lvl w:ilvl="5" w:tplc="7660B474" w:tentative="1">
      <w:start w:val="1"/>
      <w:numFmt w:val="bullet"/>
      <w:lvlText w:val="•"/>
      <w:lvlJc w:val="left"/>
      <w:pPr>
        <w:tabs>
          <w:tab w:val="num" w:pos="4320"/>
        </w:tabs>
        <w:ind w:left="4320" w:hanging="360"/>
      </w:pPr>
      <w:rPr>
        <w:rFonts w:ascii="Arial" w:hAnsi="Arial" w:hint="default"/>
      </w:rPr>
    </w:lvl>
    <w:lvl w:ilvl="6" w:tplc="7E1EB164" w:tentative="1">
      <w:start w:val="1"/>
      <w:numFmt w:val="bullet"/>
      <w:lvlText w:val="•"/>
      <w:lvlJc w:val="left"/>
      <w:pPr>
        <w:tabs>
          <w:tab w:val="num" w:pos="5040"/>
        </w:tabs>
        <w:ind w:left="5040" w:hanging="360"/>
      </w:pPr>
      <w:rPr>
        <w:rFonts w:ascii="Arial" w:hAnsi="Arial" w:hint="default"/>
      </w:rPr>
    </w:lvl>
    <w:lvl w:ilvl="7" w:tplc="EE222D68" w:tentative="1">
      <w:start w:val="1"/>
      <w:numFmt w:val="bullet"/>
      <w:lvlText w:val="•"/>
      <w:lvlJc w:val="left"/>
      <w:pPr>
        <w:tabs>
          <w:tab w:val="num" w:pos="5760"/>
        </w:tabs>
        <w:ind w:left="5760" w:hanging="360"/>
      </w:pPr>
      <w:rPr>
        <w:rFonts w:ascii="Arial" w:hAnsi="Arial" w:hint="default"/>
      </w:rPr>
    </w:lvl>
    <w:lvl w:ilvl="8" w:tplc="569C15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3A1DDA"/>
    <w:multiLevelType w:val="hybridMultilevel"/>
    <w:tmpl w:val="F6386C86"/>
    <w:lvl w:ilvl="0" w:tplc="3C2EFF7A">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52761F"/>
    <w:multiLevelType w:val="hybridMultilevel"/>
    <w:tmpl w:val="C79E8ED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4"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6A3E5C"/>
    <w:multiLevelType w:val="hybridMultilevel"/>
    <w:tmpl w:val="81D66DD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0C7CA7"/>
    <w:multiLevelType w:val="hybridMultilevel"/>
    <w:tmpl w:val="AFE6B1E8"/>
    <w:lvl w:ilvl="0" w:tplc="90ACBABE">
      <w:start w:val="1"/>
      <w:numFmt w:val="bullet"/>
      <w:lvlText w:val=""/>
      <w:lvlJc w:val="left"/>
      <w:pPr>
        <w:tabs>
          <w:tab w:val="num" w:pos="720"/>
        </w:tabs>
        <w:ind w:left="720" w:hanging="360"/>
      </w:pPr>
      <w:rPr>
        <w:rFonts w:ascii="Symbol" w:hAnsi="Symbol" w:hint="default"/>
      </w:rPr>
    </w:lvl>
    <w:lvl w:ilvl="1" w:tplc="C35C41DC" w:tentative="1">
      <w:start w:val="1"/>
      <w:numFmt w:val="bullet"/>
      <w:lvlText w:val=""/>
      <w:lvlJc w:val="left"/>
      <w:pPr>
        <w:tabs>
          <w:tab w:val="num" w:pos="1440"/>
        </w:tabs>
        <w:ind w:left="1440" w:hanging="360"/>
      </w:pPr>
      <w:rPr>
        <w:rFonts w:ascii="Symbol" w:hAnsi="Symbol" w:hint="default"/>
      </w:rPr>
    </w:lvl>
    <w:lvl w:ilvl="2" w:tplc="03205DDA" w:tentative="1">
      <w:start w:val="1"/>
      <w:numFmt w:val="bullet"/>
      <w:lvlText w:val=""/>
      <w:lvlJc w:val="left"/>
      <w:pPr>
        <w:tabs>
          <w:tab w:val="num" w:pos="2160"/>
        </w:tabs>
        <w:ind w:left="2160" w:hanging="360"/>
      </w:pPr>
      <w:rPr>
        <w:rFonts w:ascii="Symbol" w:hAnsi="Symbol" w:hint="default"/>
      </w:rPr>
    </w:lvl>
    <w:lvl w:ilvl="3" w:tplc="0ED43712" w:tentative="1">
      <w:start w:val="1"/>
      <w:numFmt w:val="bullet"/>
      <w:lvlText w:val=""/>
      <w:lvlJc w:val="left"/>
      <w:pPr>
        <w:tabs>
          <w:tab w:val="num" w:pos="2880"/>
        </w:tabs>
        <w:ind w:left="2880" w:hanging="360"/>
      </w:pPr>
      <w:rPr>
        <w:rFonts w:ascii="Symbol" w:hAnsi="Symbol" w:hint="default"/>
      </w:rPr>
    </w:lvl>
    <w:lvl w:ilvl="4" w:tplc="35D2246E" w:tentative="1">
      <w:start w:val="1"/>
      <w:numFmt w:val="bullet"/>
      <w:lvlText w:val=""/>
      <w:lvlJc w:val="left"/>
      <w:pPr>
        <w:tabs>
          <w:tab w:val="num" w:pos="3600"/>
        </w:tabs>
        <w:ind w:left="3600" w:hanging="360"/>
      </w:pPr>
      <w:rPr>
        <w:rFonts w:ascii="Symbol" w:hAnsi="Symbol" w:hint="default"/>
      </w:rPr>
    </w:lvl>
    <w:lvl w:ilvl="5" w:tplc="083AEE36" w:tentative="1">
      <w:start w:val="1"/>
      <w:numFmt w:val="bullet"/>
      <w:lvlText w:val=""/>
      <w:lvlJc w:val="left"/>
      <w:pPr>
        <w:tabs>
          <w:tab w:val="num" w:pos="4320"/>
        </w:tabs>
        <w:ind w:left="4320" w:hanging="360"/>
      </w:pPr>
      <w:rPr>
        <w:rFonts w:ascii="Symbol" w:hAnsi="Symbol" w:hint="default"/>
      </w:rPr>
    </w:lvl>
    <w:lvl w:ilvl="6" w:tplc="554CDC38" w:tentative="1">
      <w:start w:val="1"/>
      <w:numFmt w:val="bullet"/>
      <w:lvlText w:val=""/>
      <w:lvlJc w:val="left"/>
      <w:pPr>
        <w:tabs>
          <w:tab w:val="num" w:pos="5040"/>
        </w:tabs>
        <w:ind w:left="5040" w:hanging="360"/>
      </w:pPr>
      <w:rPr>
        <w:rFonts w:ascii="Symbol" w:hAnsi="Symbol" w:hint="default"/>
      </w:rPr>
    </w:lvl>
    <w:lvl w:ilvl="7" w:tplc="CC461426" w:tentative="1">
      <w:start w:val="1"/>
      <w:numFmt w:val="bullet"/>
      <w:lvlText w:val=""/>
      <w:lvlJc w:val="left"/>
      <w:pPr>
        <w:tabs>
          <w:tab w:val="num" w:pos="5760"/>
        </w:tabs>
        <w:ind w:left="5760" w:hanging="360"/>
      </w:pPr>
      <w:rPr>
        <w:rFonts w:ascii="Symbol" w:hAnsi="Symbol" w:hint="default"/>
      </w:rPr>
    </w:lvl>
    <w:lvl w:ilvl="8" w:tplc="6558360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9356091"/>
    <w:multiLevelType w:val="hybridMultilevel"/>
    <w:tmpl w:val="B726BAB4"/>
    <w:lvl w:ilvl="0" w:tplc="14149574">
      <w:start w:val="2"/>
      <w:numFmt w:val="bullet"/>
      <w:lvlText w:val="-"/>
      <w:lvlJc w:val="left"/>
      <w:pPr>
        <w:ind w:left="779" w:hanging="360"/>
      </w:pPr>
      <w:rPr>
        <w:rFonts w:ascii="Arial" w:eastAsia="Times New Roman" w:hAnsi="Arial" w:cs="Arial" w:hint="default"/>
      </w:rPr>
    </w:lvl>
    <w:lvl w:ilvl="1" w:tplc="041D0003" w:tentative="1">
      <w:start w:val="1"/>
      <w:numFmt w:val="bullet"/>
      <w:lvlText w:val="o"/>
      <w:lvlJc w:val="left"/>
      <w:pPr>
        <w:ind w:left="1499" w:hanging="360"/>
      </w:pPr>
      <w:rPr>
        <w:rFonts w:ascii="Courier New" w:hAnsi="Courier New" w:cs="Courier New" w:hint="default"/>
      </w:rPr>
    </w:lvl>
    <w:lvl w:ilvl="2" w:tplc="041D0005" w:tentative="1">
      <w:start w:val="1"/>
      <w:numFmt w:val="bullet"/>
      <w:lvlText w:val=""/>
      <w:lvlJc w:val="left"/>
      <w:pPr>
        <w:ind w:left="2219" w:hanging="360"/>
      </w:pPr>
      <w:rPr>
        <w:rFonts w:ascii="Wingdings" w:hAnsi="Wingdings" w:hint="default"/>
      </w:rPr>
    </w:lvl>
    <w:lvl w:ilvl="3" w:tplc="041D0001" w:tentative="1">
      <w:start w:val="1"/>
      <w:numFmt w:val="bullet"/>
      <w:lvlText w:val=""/>
      <w:lvlJc w:val="left"/>
      <w:pPr>
        <w:ind w:left="2939" w:hanging="360"/>
      </w:pPr>
      <w:rPr>
        <w:rFonts w:ascii="Symbol" w:hAnsi="Symbol" w:hint="default"/>
      </w:rPr>
    </w:lvl>
    <w:lvl w:ilvl="4" w:tplc="041D0003" w:tentative="1">
      <w:start w:val="1"/>
      <w:numFmt w:val="bullet"/>
      <w:lvlText w:val="o"/>
      <w:lvlJc w:val="left"/>
      <w:pPr>
        <w:ind w:left="3659" w:hanging="360"/>
      </w:pPr>
      <w:rPr>
        <w:rFonts w:ascii="Courier New" w:hAnsi="Courier New" w:cs="Courier New" w:hint="default"/>
      </w:rPr>
    </w:lvl>
    <w:lvl w:ilvl="5" w:tplc="041D0005" w:tentative="1">
      <w:start w:val="1"/>
      <w:numFmt w:val="bullet"/>
      <w:lvlText w:val=""/>
      <w:lvlJc w:val="left"/>
      <w:pPr>
        <w:ind w:left="4379" w:hanging="360"/>
      </w:pPr>
      <w:rPr>
        <w:rFonts w:ascii="Wingdings" w:hAnsi="Wingdings" w:hint="default"/>
      </w:rPr>
    </w:lvl>
    <w:lvl w:ilvl="6" w:tplc="041D0001" w:tentative="1">
      <w:start w:val="1"/>
      <w:numFmt w:val="bullet"/>
      <w:lvlText w:val=""/>
      <w:lvlJc w:val="left"/>
      <w:pPr>
        <w:ind w:left="5099" w:hanging="360"/>
      </w:pPr>
      <w:rPr>
        <w:rFonts w:ascii="Symbol" w:hAnsi="Symbol" w:hint="default"/>
      </w:rPr>
    </w:lvl>
    <w:lvl w:ilvl="7" w:tplc="041D0003" w:tentative="1">
      <w:start w:val="1"/>
      <w:numFmt w:val="bullet"/>
      <w:lvlText w:val="o"/>
      <w:lvlJc w:val="left"/>
      <w:pPr>
        <w:ind w:left="5819" w:hanging="360"/>
      </w:pPr>
      <w:rPr>
        <w:rFonts w:ascii="Courier New" w:hAnsi="Courier New" w:cs="Courier New" w:hint="default"/>
      </w:rPr>
    </w:lvl>
    <w:lvl w:ilvl="8" w:tplc="041D0005" w:tentative="1">
      <w:start w:val="1"/>
      <w:numFmt w:val="bullet"/>
      <w:lvlText w:val=""/>
      <w:lvlJc w:val="left"/>
      <w:pPr>
        <w:ind w:left="6539" w:hanging="360"/>
      </w:pPr>
      <w:rPr>
        <w:rFonts w:ascii="Wingdings" w:hAnsi="Wingdings" w:hint="default"/>
      </w:rPr>
    </w:lvl>
  </w:abstractNum>
  <w:abstractNum w:abstractNumId="19" w15:restartNumberingAfterBreak="0">
    <w:nsid w:val="39552A2C"/>
    <w:multiLevelType w:val="hybridMultilevel"/>
    <w:tmpl w:val="4F6681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524EEF8"/>
    <w:lvl w:ilvl="0" w:tplc="3D786F7A">
      <w:start w:val="1"/>
      <w:numFmt w:val="decimal"/>
      <w:pStyle w:val="Proposal"/>
      <w:lvlText w:val="Proposal %1"/>
      <w:lvlJc w:val="left"/>
      <w:pPr>
        <w:tabs>
          <w:tab w:val="num" w:pos="1872"/>
        </w:tabs>
        <w:ind w:left="1872"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4476B"/>
    <w:multiLevelType w:val="hybridMultilevel"/>
    <w:tmpl w:val="2AC63D62"/>
    <w:lvl w:ilvl="0" w:tplc="2EAAABFA">
      <w:start w:val="1"/>
      <w:numFmt w:val="bullet"/>
      <w:lvlText w:val="•"/>
      <w:lvlJc w:val="left"/>
      <w:pPr>
        <w:tabs>
          <w:tab w:val="num" w:pos="720"/>
        </w:tabs>
        <w:ind w:left="720" w:hanging="360"/>
      </w:pPr>
      <w:rPr>
        <w:rFonts w:ascii="Arial" w:hAnsi="Arial" w:hint="default"/>
      </w:rPr>
    </w:lvl>
    <w:lvl w:ilvl="1" w:tplc="17C427D2" w:tentative="1">
      <w:start w:val="1"/>
      <w:numFmt w:val="bullet"/>
      <w:lvlText w:val="•"/>
      <w:lvlJc w:val="left"/>
      <w:pPr>
        <w:tabs>
          <w:tab w:val="num" w:pos="1440"/>
        </w:tabs>
        <w:ind w:left="1440" w:hanging="360"/>
      </w:pPr>
      <w:rPr>
        <w:rFonts w:ascii="Arial" w:hAnsi="Arial" w:hint="default"/>
      </w:rPr>
    </w:lvl>
    <w:lvl w:ilvl="2" w:tplc="31B8E8A6" w:tentative="1">
      <w:start w:val="1"/>
      <w:numFmt w:val="bullet"/>
      <w:lvlText w:val="•"/>
      <w:lvlJc w:val="left"/>
      <w:pPr>
        <w:tabs>
          <w:tab w:val="num" w:pos="2160"/>
        </w:tabs>
        <w:ind w:left="2160" w:hanging="360"/>
      </w:pPr>
      <w:rPr>
        <w:rFonts w:ascii="Arial" w:hAnsi="Arial" w:hint="default"/>
      </w:rPr>
    </w:lvl>
    <w:lvl w:ilvl="3" w:tplc="B6929E18" w:tentative="1">
      <w:start w:val="1"/>
      <w:numFmt w:val="bullet"/>
      <w:lvlText w:val="•"/>
      <w:lvlJc w:val="left"/>
      <w:pPr>
        <w:tabs>
          <w:tab w:val="num" w:pos="2880"/>
        </w:tabs>
        <w:ind w:left="2880" w:hanging="360"/>
      </w:pPr>
      <w:rPr>
        <w:rFonts w:ascii="Arial" w:hAnsi="Arial" w:hint="default"/>
      </w:rPr>
    </w:lvl>
    <w:lvl w:ilvl="4" w:tplc="664C05FA" w:tentative="1">
      <w:start w:val="1"/>
      <w:numFmt w:val="bullet"/>
      <w:lvlText w:val="•"/>
      <w:lvlJc w:val="left"/>
      <w:pPr>
        <w:tabs>
          <w:tab w:val="num" w:pos="3600"/>
        </w:tabs>
        <w:ind w:left="3600" w:hanging="360"/>
      </w:pPr>
      <w:rPr>
        <w:rFonts w:ascii="Arial" w:hAnsi="Arial" w:hint="default"/>
      </w:rPr>
    </w:lvl>
    <w:lvl w:ilvl="5" w:tplc="889419A0" w:tentative="1">
      <w:start w:val="1"/>
      <w:numFmt w:val="bullet"/>
      <w:lvlText w:val="•"/>
      <w:lvlJc w:val="left"/>
      <w:pPr>
        <w:tabs>
          <w:tab w:val="num" w:pos="4320"/>
        </w:tabs>
        <w:ind w:left="4320" w:hanging="360"/>
      </w:pPr>
      <w:rPr>
        <w:rFonts w:ascii="Arial" w:hAnsi="Arial" w:hint="default"/>
      </w:rPr>
    </w:lvl>
    <w:lvl w:ilvl="6" w:tplc="7D4E9164" w:tentative="1">
      <w:start w:val="1"/>
      <w:numFmt w:val="bullet"/>
      <w:lvlText w:val="•"/>
      <w:lvlJc w:val="left"/>
      <w:pPr>
        <w:tabs>
          <w:tab w:val="num" w:pos="5040"/>
        </w:tabs>
        <w:ind w:left="5040" w:hanging="360"/>
      </w:pPr>
      <w:rPr>
        <w:rFonts w:ascii="Arial" w:hAnsi="Arial" w:hint="default"/>
      </w:rPr>
    </w:lvl>
    <w:lvl w:ilvl="7" w:tplc="4D807D00" w:tentative="1">
      <w:start w:val="1"/>
      <w:numFmt w:val="bullet"/>
      <w:lvlText w:val="•"/>
      <w:lvlJc w:val="left"/>
      <w:pPr>
        <w:tabs>
          <w:tab w:val="num" w:pos="5760"/>
        </w:tabs>
        <w:ind w:left="5760" w:hanging="360"/>
      </w:pPr>
      <w:rPr>
        <w:rFonts w:ascii="Arial" w:hAnsi="Arial" w:hint="default"/>
      </w:rPr>
    </w:lvl>
    <w:lvl w:ilvl="8" w:tplc="CDC6DA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BE5C2A"/>
    <w:multiLevelType w:val="hybridMultilevel"/>
    <w:tmpl w:val="16841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691810"/>
    <w:multiLevelType w:val="hybridMultilevel"/>
    <w:tmpl w:val="B2D054EA"/>
    <w:lvl w:ilvl="0" w:tplc="041D0001">
      <w:start w:val="1"/>
      <w:numFmt w:val="bullet"/>
      <w:lvlText w:val=""/>
      <w:lvlJc w:val="left"/>
      <w:pPr>
        <w:ind w:left="1664" w:hanging="360"/>
      </w:pPr>
      <w:rPr>
        <w:rFonts w:ascii="Symbol" w:hAnsi="Symbol" w:hint="default"/>
      </w:rPr>
    </w:lvl>
    <w:lvl w:ilvl="1" w:tplc="041D0003">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27" w15:restartNumberingAfterBreak="0">
    <w:nsid w:val="4C9A07D5"/>
    <w:multiLevelType w:val="hybridMultilevel"/>
    <w:tmpl w:val="E424CC9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9306B"/>
    <w:multiLevelType w:val="hybridMultilevel"/>
    <w:tmpl w:val="5DB679BE"/>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0" w15:restartNumberingAfterBreak="0">
    <w:nsid w:val="4E96296C"/>
    <w:multiLevelType w:val="hybridMultilevel"/>
    <w:tmpl w:val="8A1E382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5771F1"/>
    <w:multiLevelType w:val="hybridMultilevel"/>
    <w:tmpl w:val="F7EA6048"/>
    <w:lvl w:ilvl="0" w:tplc="24E26230">
      <w:start w:val="3"/>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70EBA"/>
    <w:multiLevelType w:val="multilevel"/>
    <w:tmpl w:val="6A870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2F7AD9"/>
    <w:multiLevelType w:val="hybridMultilevel"/>
    <w:tmpl w:val="587E406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41"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0"/>
  </w:num>
  <w:num w:numId="3">
    <w:abstractNumId w:val="0"/>
  </w:num>
  <w:num w:numId="4">
    <w:abstractNumId w:val="31"/>
  </w:num>
  <w:num w:numId="5">
    <w:abstractNumId w:val="32"/>
  </w:num>
  <w:num w:numId="6">
    <w:abstractNumId w:val="33"/>
  </w:num>
  <w:num w:numId="7">
    <w:abstractNumId w:val="8"/>
  </w:num>
  <w:num w:numId="8">
    <w:abstractNumId w:val="11"/>
  </w:num>
  <w:num w:numId="9">
    <w:abstractNumId w:val="4"/>
  </w:num>
  <w:num w:numId="10">
    <w:abstractNumId w:val="39"/>
  </w:num>
  <w:num w:numId="11">
    <w:abstractNumId w:val="15"/>
  </w:num>
  <w:num w:numId="12">
    <w:abstractNumId w:val="38"/>
  </w:num>
  <w:num w:numId="13">
    <w:abstractNumId w:val="3"/>
  </w:num>
  <w:num w:numId="14">
    <w:abstractNumId w:val="35"/>
  </w:num>
  <w:num w:numId="15">
    <w:abstractNumId w:val="12"/>
  </w:num>
  <w:num w:numId="16">
    <w:abstractNumId w:val="2"/>
  </w:num>
  <w:num w:numId="17">
    <w:abstractNumId w:val="26"/>
  </w:num>
  <w:num w:numId="18">
    <w:abstractNumId w:val="23"/>
  </w:num>
  <w:num w:numId="19">
    <w:abstractNumId w:val="6"/>
  </w:num>
  <w:num w:numId="20">
    <w:abstractNumId w:val="10"/>
  </w:num>
  <w:num w:numId="21">
    <w:abstractNumId w:val="28"/>
  </w:num>
  <w:num w:numId="22">
    <w:abstractNumId w:val="36"/>
  </w:num>
  <w:num w:numId="23">
    <w:abstractNumId w:val="22"/>
  </w:num>
  <w:num w:numId="24">
    <w:abstractNumId w:val="17"/>
  </w:num>
  <w:num w:numId="25">
    <w:abstractNumId w:val="24"/>
  </w:num>
  <w:num w:numId="26">
    <w:abstractNumId w:val="41"/>
  </w:num>
  <w:num w:numId="27">
    <w:abstractNumId w:val="14"/>
  </w:num>
  <w:num w:numId="28">
    <w:abstractNumId w:val="5"/>
  </w:num>
  <w:num w:numId="29">
    <w:abstractNumId w:val="18"/>
  </w:num>
  <w:num w:numId="30">
    <w:abstractNumId w:val="9"/>
  </w:num>
  <w:num w:numId="31">
    <w:abstractNumId w:val="7"/>
  </w:num>
  <w:num w:numId="32">
    <w:abstractNumId w:val="21"/>
  </w:num>
  <w:num w:numId="33">
    <w:abstractNumId w:val="5"/>
  </w:num>
  <w:num w:numId="34">
    <w:abstractNumId w:val="27"/>
  </w:num>
  <w:num w:numId="35">
    <w:abstractNumId w:val="37"/>
  </w:num>
  <w:num w:numId="36">
    <w:abstractNumId w:val="1"/>
  </w:num>
  <w:num w:numId="37">
    <w:abstractNumId w:val="30"/>
  </w:num>
  <w:num w:numId="38">
    <w:abstractNumId w:val="40"/>
  </w:num>
  <w:num w:numId="39">
    <w:abstractNumId w:val="19"/>
  </w:num>
  <w:num w:numId="40">
    <w:abstractNumId w:val="13"/>
  </w:num>
  <w:num w:numId="41">
    <w:abstractNumId w:val="34"/>
  </w:num>
  <w:num w:numId="42">
    <w:abstractNumId w:val="16"/>
  </w:num>
  <w:num w:numId="43">
    <w:abstractNumId w:val="29"/>
  </w:num>
  <w:num w:numId="44">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EA2"/>
    <w:rsid w:val="00000058"/>
    <w:rsid w:val="00000421"/>
    <w:rsid w:val="000006E1"/>
    <w:rsid w:val="00001D8A"/>
    <w:rsid w:val="00002A37"/>
    <w:rsid w:val="0000564C"/>
    <w:rsid w:val="000062F3"/>
    <w:rsid w:val="00006446"/>
    <w:rsid w:val="00006896"/>
    <w:rsid w:val="0000709B"/>
    <w:rsid w:val="000070ED"/>
    <w:rsid w:val="00007CDC"/>
    <w:rsid w:val="00010B29"/>
    <w:rsid w:val="00011A3D"/>
    <w:rsid w:val="00011B28"/>
    <w:rsid w:val="00013002"/>
    <w:rsid w:val="00013077"/>
    <w:rsid w:val="00013EFA"/>
    <w:rsid w:val="00015D15"/>
    <w:rsid w:val="00015E91"/>
    <w:rsid w:val="00017283"/>
    <w:rsid w:val="0001734A"/>
    <w:rsid w:val="00017AE5"/>
    <w:rsid w:val="0002002C"/>
    <w:rsid w:val="00020691"/>
    <w:rsid w:val="000218EA"/>
    <w:rsid w:val="0002290C"/>
    <w:rsid w:val="00023E71"/>
    <w:rsid w:val="00024D2F"/>
    <w:rsid w:val="0002564D"/>
    <w:rsid w:val="0002599A"/>
    <w:rsid w:val="00025ECA"/>
    <w:rsid w:val="00026D3E"/>
    <w:rsid w:val="00027141"/>
    <w:rsid w:val="00030DAA"/>
    <w:rsid w:val="00030E08"/>
    <w:rsid w:val="00031D51"/>
    <w:rsid w:val="00031FA1"/>
    <w:rsid w:val="000325B8"/>
    <w:rsid w:val="00032FD7"/>
    <w:rsid w:val="00033887"/>
    <w:rsid w:val="00034C15"/>
    <w:rsid w:val="00034FBE"/>
    <w:rsid w:val="00035179"/>
    <w:rsid w:val="000359DC"/>
    <w:rsid w:val="00036BA1"/>
    <w:rsid w:val="000379FA"/>
    <w:rsid w:val="000413B7"/>
    <w:rsid w:val="000422E2"/>
    <w:rsid w:val="0004253D"/>
    <w:rsid w:val="00042F22"/>
    <w:rsid w:val="000431A1"/>
    <w:rsid w:val="00043699"/>
    <w:rsid w:val="000444EF"/>
    <w:rsid w:val="00045245"/>
    <w:rsid w:val="000458DC"/>
    <w:rsid w:val="00045B12"/>
    <w:rsid w:val="00045FAD"/>
    <w:rsid w:val="0004727E"/>
    <w:rsid w:val="0004768C"/>
    <w:rsid w:val="00050443"/>
    <w:rsid w:val="000512A7"/>
    <w:rsid w:val="00052A07"/>
    <w:rsid w:val="00052BA7"/>
    <w:rsid w:val="000534E3"/>
    <w:rsid w:val="00054035"/>
    <w:rsid w:val="00054B1E"/>
    <w:rsid w:val="00055DB1"/>
    <w:rsid w:val="0005606A"/>
    <w:rsid w:val="00056BFC"/>
    <w:rsid w:val="00057117"/>
    <w:rsid w:val="000575AC"/>
    <w:rsid w:val="0006071C"/>
    <w:rsid w:val="000616E7"/>
    <w:rsid w:val="0006196A"/>
    <w:rsid w:val="00062204"/>
    <w:rsid w:val="000622F9"/>
    <w:rsid w:val="00062427"/>
    <w:rsid w:val="0006487E"/>
    <w:rsid w:val="00065E1A"/>
    <w:rsid w:val="00070928"/>
    <w:rsid w:val="000719E8"/>
    <w:rsid w:val="000721AC"/>
    <w:rsid w:val="00073456"/>
    <w:rsid w:val="00074ADF"/>
    <w:rsid w:val="0007534A"/>
    <w:rsid w:val="00075691"/>
    <w:rsid w:val="00075818"/>
    <w:rsid w:val="00076B3F"/>
    <w:rsid w:val="0007722B"/>
    <w:rsid w:val="000772E4"/>
    <w:rsid w:val="0007740D"/>
    <w:rsid w:val="00077600"/>
    <w:rsid w:val="00077E5F"/>
    <w:rsid w:val="00080344"/>
    <w:rsid w:val="0008036A"/>
    <w:rsid w:val="0008108F"/>
    <w:rsid w:val="00081AE6"/>
    <w:rsid w:val="00082810"/>
    <w:rsid w:val="000849F0"/>
    <w:rsid w:val="00084E9E"/>
    <w:rsid w:val="000855EB"/>
    <w:rsid w:val="00085B52"/>
    <w:rsid w:val="00085E14"/>
    <w:rsid w:val="0008614B"/>
    <w:rsid w:val="00086263"/>
    <w:rsid w:val="000866F2"/>
    <w:rsid w:val="00086907"/>
    <w:rsid w:val="00086F91"/>
    <w:rsid w:val="00087AB3"/>
    <w:rsid w:val="0009009F"/>
    <w:rsid w:val="00091557"/>
    <w:rsid w:val="00091A34"/>
    <w:rsid w:val="000924C1"/>
    <w:rsid w:val="000924F0"/>
    <w:rsid w:val="00092956"/>
    <w:rsid w:val="00093474"/>
    <w:rsid w:val="0009445C"/>
    <w:rsid w:val="0009510F"/>
    <w:rsid w:val="000972F8"/>
    <w:rsid w:val="000A0185"/>
    <w:rsid w:val="000A0D01"/>
    <w:rsid w:val="000A1B7B"/>
    <w:rsid w:val="000A2CB0"/>
    <w:rsid w:val="000A2CE8"/>
    <w:rsid w:val="000A2D9B"/>
    <w:rsid w:val="000A329F"/>
    <w:rsid w:val="000A331E"/>
    <w:rsid w:val="000A56F2"/>
    <w:rsid w:val="000A6630"/>
    <w:rsid w:val="000A7221"/>
    <w:rsid w:val="000A730F"/>
    <w:rsid w:val="000A76EB"/>
    <w:rsid w:val="000A7D51"/>
    <w:rsid w:val="000B0779"/>
    <w:rsid w:val="000B07E4"/>
    <w:rsid w:val="000B14B0"/>
    <w:rsid w:val="000B2719"/>
    <w:rsid w:val="000B3A8F"/>
    <w:rsid w:val="000B3FA4"/>
    <w:rsid w:val="000B4AB9"/>
    <w:rsid w:val="000B50F5"/>
    <w:rsid w:val="000B5140"/>
    <w:rsid w:val="000B58C3"/>
    <w:rsid w:val="000B5E58"/>
    <w:rsid w:val="000B6148"/>
    <w:rsid w:val="000B61E9"/>
    <w:rsid w:val="000B683B"/>
    <w:rsid w:val="000C04BB"/>
    <w:rsid w:val="000C1213"/>
    <w:rsid w:val="000C165A"/>
    <w:rsid w:val="000C24F4"/>
    <w:rsid w:val="000C2DC3"/>
    <w:rsid w:val="000C2E19"/>
    <w:rsid w:val="000C3491"/>
    <w:rsid w:val="000C37C8"/>
    <w:rsid w:val="000C3B63"/>
    <w:rsid w:val="000C551A"/>
    <w:rsid w:val="000C7A3A"/>
    <w:rsid w:val="000D0D07"/>
    <w:rsid w:val="000D1CF2"/>
    <w:rsid w:val="000D1EA5"/>
    <w:rsid w:val="000D1F34"/>
    <w:rsid w:val="000D227B"/>
    <w:rsid w:val="000D4797"/>
    <w:rsid w:val="000D57E6"/>
    <w:rsid w:val="000D6392"/>
    <w:rsid w:val="000D6F28"/>
    <w:rsid w:val="000E0527"/>
    <w:rsid w:val="000E1509"/>
    <w:rsid w:val="000E1944"/>
    <w:rsid w:val="000E1E66"/>
    <w:rsid w:val="000E1E92"/>
    <w:rsid w:val="000E2005"/>
    <w:rsid w:val="000E20BE"/>
    <w:rsid w:val="000E2C4A"/>
    <w:rsid w:val="000E61D4"/>
    <w:rsid w:val="000E6E25"/>
    <w:rsid w:val="000E7251"/>
    <w:rsid w:val="000F018A"/>
    <w:rsid w:val="000F01CE"/>
    <w:rsid w:val="000F040B"/>
    <w:rsid w:val="000F06D6"/>
    <w:rsid w:val="000F06F8"/>
    <w:rsid w:val="000F0EB1"/>
    <w:rsid w:val="000F1106"/>
    <w:rsid w:val="000F257F"/>
    <w:rsid w:val="000F3BE9"/>
    <w:rsid w:val="000F3F6C"/>
    <w:rsid w:val="000F461D"/>
    <w:rsid w:val="000F4F50"/>
    <w:rsid w:val="000F501E"/>
    <w:rsid w:val="000F5137"/>
    <w:rsid w:val="000F5153"/>
    <w:rsid w:val="000F6030"/>
    <w:rsid w:val="000F62FC"/>
    <w:rsid w:val="000F6714"/>
    <w:rsid w:val="000F6DF3"/>
    <w:rsid w:val="000F7517"/>
    <w:rsid w:val="001005FF"/>
    <w:rsid w:val="00101653"/>
    <w:rsid w:val="00102AFE"/>
    <w:rsid w:val="001031DB"/>
    <w:rsid w:val="00103A5B"/>
    <w:rsid w:val="00103D56"/>
    <w:rsid w:val="00103E92"/>
    <w:rsid w:val="0010424D"/>
    <w:rsid w:val="001062FB"/>
    <w:rsid w:val="001063E6"/>
    <w:rsid w:val="00106C25"/>
    <w:rsid w:val="00107740"/>
    <w:rsid w:val="001111F6"/>
    <w:rsid w:val="001115ED"/>
    <w:rsid w:val="00111F48"/>
    <w:rsid w:val="00112DEC"/>
    <w:rsid w:val="00113CF4"/>
    <w:rsid w:val="00114549"/>
    <w:rsid w:val="0011510E"/>
    <w:rsid w:val="001153EA"/>
    <w:rsid w:val="00115643"/>
    <w:rsid w:val="001158D0"/>
    <w:rsid w:val="00116354"/>
    <w:rsid w:val="00116765"/>
    <w:rsid w:val="00117582"/>
    <w:rsid w:val="00120BA7"/>
    <w:rsid w:val="001219F5"/>
    <w:rsid w:val="00121A20"/>
    <w:rsid w:val="001235B0"/>
    <w:rsid w:val="001236EE"/>
    <w:rsid w:val="0012377F"/>
    <w:rsid w:val="001239AE"/>
    <w:rsid w:val="00124112"/>
    <w:rsid w:val="00124314"/>
    <w:rsid w:val="00124626"/>
    <w:rsid w:val="00126754"/>
    <w:rsid w:val="00126B4A"/>
    <w:rsid w:val="001270FD"/>
    <w:rsid w:val="0012730E"/>
    <w:rsid w:val="00127D4C"/>
    <w:rsid w:val="00130221"/>
    <w:rsid w:val="00131AD0"/>
    <w:rsid w:val="00131FBD"/>
    <w:rsid w:val="00132FD0"/>
    <w:rsid w:val="001331E2"/>
    <w:rsid w:val="00133493"/>
    <w:rsid w:val="00133C4D"/>
    <w:rsid w:val="00134306"/>
    <w:rsid w:val="001344C0"/>
    <w:rsid w:val="001346FA"/>
    <w:rsid w:val="001349D6"/>
    <w:rsid w:val="00135252"/>
    <w:rsid w:val="0013596A"/>
    <w:rsid w:val="00137AB5"/>
    <w:rsid w:val="00137D96"/>
    <w:rsid w:val="00137DF9"/>
    <w:rsid w:val="00137F0B"/>
    <w:rsid w:val="001427A6"/>
    <w:rsid w:val="00142E33"/>
    <w:rsid w:val="0014494A"/>
    <w:rsid w:val="00144DA9"/>
    <w:rsid w:val="001453BA"/>
    <w:rsid w:val="001479E9"/>
    <w:rsid w:val="001517BC"/>
    <w:rsid w:val="00151E23"/>
    <w:rsid w:val="001526E0"/>
    <w:rsid w:val="00153FC6"/>
    <w:rsid w:val="00154A1C"/>
    <w:rsid w:val="001551B5"/>
    <w:rsid w:val="00155605"/>
    <w:rsid w:val="0015678C"/>
    <w:rsid w:val="00156878"/>
    <w:rsid w:val="00161943"/>
    <w:rsid w:val="001623B9"/>
    <w:rsid w:val="0016250F"/>
    <w:rsid w:val="001627E0"/>
    <w:rsid w:val="00164026"/>
    <w:rsid w:val="00164195"/>
    <w:rsid w:val="00164520"/>
    <w:rsid w:val="001659C1"/>
    <w:rsid w:val="00165CED"/>
    <w:rsid w:val="00166049"/>
    <w:rsid w:val="001660A5"/>
    <w:rsid w:val="00166875"/>
    <w:rsid w:val="0017367D"/>
    <w:rsid w:val="00173968"/>
    <w:rsid w:val="00173A8E"/>
    <w:rsid w:val="00174EAF"/>
    <w:rsid w:val="0017502C"/>
    <w:rsid w:val="001757BF"/>
    <w:rsid w:val="001759C7"/>
    <w:rsid w:val="0017758C"/>
    <w:rsid w:val="0018143F"/>
    <w:rsid w:val="00181FF8"/>
    <w:rsid w:val="00182573"/>
    <w:rsid w:val="00183FA2"/>
    <w:rsid w:val="001847D7"/>
    <w:rsid w:val="001854BB"/>
    <w:rsid w:val="001856CA"/>
    <w:rsid w:val="00185DAD"/>
    <w:rsid w:val="00190AC1"/>
    <w:rsid w:val="00190BDF"/>
    <w:rsid w:val="00191714"/>
    <w:rsid w:val="0019174F"/>
    <w:rsid w:val="00191BA8"/>
    <w:rsid w:val="00191D2E"/>
    <w:rsid w:val="001923CA"/>
    <w:rsid w:val="001928CD"/>
    <w:rsid w:val="0019341A"/>
    <w:rsid w:val="0019406B"/>
    <w:rsid w:val="001956AB"/>
    <w:rsid w:val="001956B5"/>
    <w:rsid w:val="0019580D"/>
    <w:rsid w:val="00195811"/>
    <w:rsid w:val="00196ED6"/>
    <w:rsid w:val="00197A7E"/>
    <w:rsid w:val="00197DF9"/>
    <w:rsid w:val="001A1987"/>
    <w:rsid w:val="001A1F2B"/>
    <w:rsid w:val="001A201C"/>
    <w:rsid w:val="001A2254"/>
    <w:rsid w:val="001A2564"/>
    <w:rsid w:val="001A4407"/>
    <w:rsid w:val="001A552B"/>
    <w:rsid w:val="001A6173"/>
    <w:rsid w:val="001A632E"/>
    <w:rsid w:val="001A6CBA"/>
    <w:rsid w:val="001A7414"/>
    <w:rsid w:val="001A781C"/>
    <w:rsid w:val="001A7BE5"/>
    <w:rsid w:val="001B0777"/>
    <w:rsid w:val="001B0D97"/>
    <w:rsid w:val="001B0EC5"/>
    <w:rsid w:val="001B1B70"/>
    <w:rsid w:val="001B4BC4"/>
    <w:rsid w:val="001B5A5D"/>
    <w:rsid w:val="001B74CF"/>
    <w:rsid w:val="001B79CA"/>
    <w:rsid w:val="001C1734"/>
    <w:rsid w:val="001C1CE5"/>
    <w:rsid w:val="001C224A"/>
    <w:rsid w:val="001C2AE1"/>
    <w:rsid w:val="001C2D72"/>
    <w:rsid w:val="001C3D2A"/>
    <w:rsid w:val="001C448C"/>
    <w:rsid w:val="001C52F2"/>
    <w:rsid w:val="001C5339"/>
    <w:rsid w:val="001C5B47"/>
    <w:rsid w:val="001C674C"/>
    <w:rsid w:val="001C6EC7"/>
    <w:rsid w:val="001D018F"/>
    <w:rsid w:val="001D14D0"/>
    <w:rsid w:val="001D27FB"/>
    <w:rsid w:val="001D3445"/>
    <w:rsid w:val="001D4A07"/>
    <w:rsid w:val="001D5188"/>
    <w:rsid w:val="001D51BA"/>
    <w:rsid w:val="001D53E7"/>
    <w:rsid w:val="001D6342"/>
    <w:rsid w:val="001D6D53"/>
    <w:rsid w:val="001D6F41"/>
    <w:rsid w:val="001D798B"/>
    <w:rsid w:val="001D7ED8"/>
    <w:rsid w:val="001E1232"/>
    <w:rsid w:val="001E2D30"/>
    <w:rsid w:val="001E3112"/>
    <w:rsid w:val="001E4514"/>
    <w:rsid w:val="001E58E2"/>
    <w:rsid w:val="001E789E"/>
    <w:rsid w:val="001E7AED"/>
    <w:rsid w:val="001F0486"/>
    <w:rsid w:val="001F2433"/>
    <w:rsid w:val="001F2465"/>
    <w:rsid w:val="001F3300"/>
    <w:rsid w:val="001F3408"/>
    <w:rsid w:val="001F3916"/>
    <w:rsid w:val="001F447D"/>
    <w:rsid w:val="001F4B3B"/>
    <w:rsid w:val="001F54C5"/>
    <w:rsid w:val="001F5827"/>
    <w:rsid w:val="001F662C"/>
    <w:rsid w:val="001F7074"/>
    <w:rsid w:val="001F7A99"/>
    <w:rsid w:val="001F7CE2"/>
    <w:rsid w:val="0020041B"/>
    <w:rsid w:val="00200490"/>
    <w:rsid w:val="00200D8B"/>
    <w:rsid w:val="00200DAC"/>
    <w:rsid w:val="00201C5C"/>
    <w:rsid w:val="00201F3A"/>
    <w:rsid w:val="002037D4"/>
    <w:rsid w:val="00203F96"/>
    <w:rsid w:val="0020439E"/>
    <w:rsid w:val="0020528E"/>
    <w:rsid w:val="0020538D"/>
    <w:rsid w:val="0020549D"/>
    <w:rsid w:val="00205FAC"/>
    <w:rsid w:val="002069B2"/>
    <w:rsid w:val="002070D3"/>
    <w:rsid w:val="00207FA3"/>
    <w:rsid w:val="002132B1"/>
    <w:rsid w:val="00213E6B"/>
    <w:rsid w:val="00214B67"/>
    <w:rsid w:val="00214DA8"/>
    <w:rsid w:val="00214F19"/>
    <w:rsid w:val="00214F7A"/>
    <w:rsid w:val="00215423"/>
    <w:rsid w:val="002157AF"/>
    <w:rsid w:val="002158FA"/>
    <w:rsid w:val="00215D90"/>
    <w:rsid w:val="00215FE2"/>
    <w:rsid w:val="002165F2"/>
    <w:rsid w:val="00220600"/>
    <w:rsid w:val="002224DB"/>
    <w:rsid w:val="00223D85"/>
    <w:rsid w:val="00223DC1"/>
    <w:rsid w:val="00223FCB"/>
    <w:rsid w:val="00224184"/>
    <w:rsid w:val="00224A20"/>
    <w:rsid w:val="002252C3"/>
    <w:rsid w:val="00225712"/>
    <w:rsid w:val="00225C54"/>
    <w:rsid w:val="00225CBE"/>
    <w:rsid w:val="00225F06"/>
    <w:rsid w:val="00226160"/>
    <w:rsid w:val="002269DB"/>
    <w:rsid w:val="00226CA5"/>
    <w:rsid w:val="00230765"/>
    <w:rsid w:val="00230A84"/>
    <w:rsid w:val="00230B3A"/>
    <w:rsid w:val="00230D18"/>
    <w:rsid w:val="00231722"/>
    <w:rsid w:val="002319E4"/>
    <w:rsid w:val="00232164"/>
    <w:rsid w:val="00232A71"/>
    <w:rsid w:val="00232F35"/>
    <w:rsid w:val="00233164"/>
    <w:rsid w:val="00233C48"/>
    <w:rsid w:val="0023430B"/>
    <w:rsid w:val="002344AA"/>
    <w:rsid w:val="00234B14"/>
    <w:rsid w:val="00234D02"/>
    <w:rsid w:val="00235219"/>
    <w:rsid w:val="00235632"/>
    <w:rsid w:val="00235872"/>
    <w:rsid w:val="00235B6E"/>
    <w:rsid w:val="00236903"/>
    <w:rsid w:val="00237CDA"/>
    <w:rsid w:val="00241559"/>
    <w:rsid w:val="00242515"/>
    <w:rsid w:val="002435B3"/>
    <w:rsid w:val="002458EB"/>
    <w:rsid w:val="00247580"/>
    <w:rsid w:val="002500C8"/>
    <w:rsid w:val="00250FDC"/>
    <w:rsid w:val="0025166F"/>
    <w:rsid w:val="0025167E"/>
    <w:rsid w:val="00251879"/>
    <w:rsid w:val="00252B16"/>
    <w:rsid w:val="00253295"/>
    <w:rsid w:val="00256EE5"/>
    <w:rsid w:val="00257543"/>
    <w:rsid w:val="0026069E"/>
    <w:rsid w:val="002607BC"/>
    <w:rsid w:val="002617E7"/>
    <w:rsid w:val="00262CFF"/>
    <w:rsid w:val="00264178"/>
    <w:rsid w:val="00264228"/>
    <w:rsid w:val="00264334"/>
    <w:rsid w:val="0026473E"/>
    <w:rsid w:val="002650BD"/>
    <w:rsid w:val="002659A8"/>
    <w:rsid w:val="00266214"/>
    <w:rsid w:val="0026624D"/>
    <w:rsid w:val="0026693A"/>
    <w:rsid w:val="00266FE8"/>
    <w:rsid w:val="0026790F"/>
    <w:rsid w:val="00267C83"/>
    <w:rsid w:val="0027037F"/>
    <w:rsid w:val="0027140B"/>
    <w:rsid w:val="0027144F"/>
    <w:rsid w:val="00271500"/>
    <w:rsid w:val="00271813"/>
    <w:rsid w:val="00271F3A"/>
    <w:rsid w:val="002727EF"/>
    <w:rsid w:val="00273278"/>
    <w:rsid w:val="002737F4"/>
    <w:rsid w:val="00274B88"/>
    <w:rsid w:val="00274EB9"/>
    <w:rsid w:val="00274F1D"/>
    <w:rsid w:val="0027645F"/>
    <w:rsid w:val="00276D01"/>
    <w:rsid w:val="00277647"/>
    <w:rsid w:val="002805F5"/>
    <w:rsid w:val="00280751"/>
    <w:rsid w:val="00280BB3"/>
    <w:rsid w:val="0028280A"/>
    <w:rsid w:val="00283BED"/>
    <w:rsid w:val="0028667C"/>
    <w:rsid w:val="00286ACD"/>
    <w:rsid w:val="00286BBB"/>
    <w:rsid w:val="002877ED"/>
    <w:rsid w:val="00287838"/>
    <w:rsid w:val="002907B5"/>
    <w:rsid w:val="00290A00"/>
    <w:rsid w:val="00290B88"/>
    <w:rsid w:val="00292548"/>
    <w:rsid w:val="00292EB7"/>
    <w:rsid w:val="00294DA9"/>
    <w:rsid w:val="00296227"/>
    <w:rsid w:val="00296F44"/>
    <w:rsid w:val="0029777D"/>
    <w:rsid w:val="002978EB"/>
    <w:rsid w:val="002A055E"/>
    <w:rsid w:val="002A084D"/>
    <w:rsid w:val="002A1D4E"/>
    <w:rsid w:val="002A2869"/>
    <w:rsid w:val="002A2CFB"/>
    <w:rsid w:val="002A3B91"/>
    <w:rsid w:val="002A3E56"/>
    <w:rsid w:val="002A49C7"/>
    <w:rsid w:val="002A4B57"/>
    <w:rsid w:val="002A4CC1"/>
    <w:rsid w:val="002A5BA5"/>
    <w:rsid w:val="002A5F15"/>
    <w:rsid w:val="002B0886"/>
    <w:rsid w:val="002B0C9A"/>
    <w:rsid w:val="002B24D6"/>
    <w:rsid w:val="002B349C"/>
    <w:rsid w:val="002B5E0C"/>
    <w:rsid w:val="002C08C8"/>
    <w:rsid w:val="002C20AF"/>
    <w:rsid w:val="002C3CCD"/>
    <w:rsid w:val="002C41E6"/>
    <w:rsid w:val="002C4D07"/>
    <w:rsid w:val="002C4E83"/>
    <w:rsid w:val="002C5E63"/>
    <w:rsid w:val="002C7865"/>
    <w:rsid w:val="002C78E4"/>
    <w:rsid w:val="002D071A"/>
    <w:rsid w:val="002D34B2"/>
    <w:rsid w:val="002D366F"/>
    <w:rsid w:val="002D3FA8"/>
    <w:rsid w:val="002D48B0"/>
    <w:rsid w:val="002D4C17"/>
    <w:rsid w:val="002D5B37"/>
    <w:rsid w:val="002D67C3"/>
    <w:rsid w:val="002D6A4F"/>
    <w:rsid w:val="002D7637"/>
    <w:rsid w:val="002E052E"/>
    <w:rsid w:val="002E062B"/>
    <w:rsid w:val="002E1383"/>
    <w:rsid w:val="002E1464"/>
    <w:rsid w:val="002E17F2"/>
    <w:rsid w:val="002E2639"/>
    <w:rsid w:val="002E3298"/>
    <w:rsid w:val="002E331A"/>
    <w:rsid w:val="002E3F05"/>
    <w:rsid w:val="002E762B"/>
    <w:rsid w:val="002E7CAE"/>
    <w:rsid w:val="002F0102"/>
    <w:rsid w:val="002F13A0"/>
    <w:rsid w:val="002F13E4"/>
    <w:rsid w:val="002F1854"/>
    <w:rsid w:val="002F1A12"/>
    <w:rsid w:val="002F1CB1"/>
    <w:rsid w:val="002F2269"/>
    <w:rsid w:val="002F2771"/>
    <w:rsid w:val="002F279E"/>
    <w:rsid w:val="002F37A9"/>
    <w:rsid w:val="002F4826"/>
    <w:rsid w:val="002F4935"/>
    <w:rsid w:val="002F497B"/>
    <w:rsid w:val="002F4D4E"/>
    <w:rsid w:val="002F4EE4"/>
    <w:rsid w:val="002F5FAC"/>
    <w:rsid w:val="002F61AF"/>
    <w:rsid w:val="002F6C90"/>
    <w:rsid w:val="002F7614"/>
    <w:rsid w:val="002F7CD7"/>
    <w:rsid w:val="00301CE6"/>
    <w:rsid w:val="0030256B"/>
    <w:rsid w:val="00304171"/>
    <w:rsid w:val="0030501F"/>
    <w:rsid w:val="00306236"/>
    <w:rsid w:val="003076D0"/>
    <w:rsid w:val="00307A5D"/>
    <w:rsid w:val="00307BA1"/>
    <w:rsid w:val="00310308"/>
    <w:rsid w:val="0031169A"/>
    <w:rsid w:val="00311702"/>
    <w:rsid w:val="00311CF0"/>
    <w:rsid w:val="00311E82"/>
    <w:rsid w:val="00311E98"/>
    <w:rsid w:val="00312809"/>
    <w:rsid w:val="0031342B"/>
    <w:rsid w:val="003139B4"/>
    <w:rsid w:val="00313FD6"/>
    <w:rsid w:val="003143BD"/>
    <w:rsid w:val="00315363"/>
    <w:rsid w:val="003153BF"/>
    <w:rsid w:val="00315991"/>
    <w:rsid w:val="00315A07"/>
    <w:rsid w:val="0031604E"/>
    <w:rsid w:val="003162D0"/>
    <w:rsid w:val="00317409"/>
    <w:rsid w:val="003203ED"/>
    <w:rsid w:val="0032047A"/>
    <w:rsid w:val="00320E52"/>
    <w:rsid w:val="00322C9F"/>
    <w:rsid w:val="00322F35"/>
    <w:rsid w:val="00323899"/>
    <w:rsid w:val="00323E0E"/>
    <w:rsid w:val="00324674"/>
    <w:rsid w:val="00324B07"/>
    <w:rsid w:val="00324D23"/>
    <w:rsid w:val="00325195"/>
    <w:rsid w:val="00325915"/>
    <w:rsid w:val="003259DC"/>
    <w:rsid w:val="003268F4"/>
    <w:rsid w:val="00330567"/>
    <w:rsid w:val="0033069B"/>
    <w:rsid w:val="00331123"/>
    <w:rsid w:val="00331705"/>
    <w:rsid w:val="00331751"/>
    <w:rsid w:val="00333514"/>
    <w:rsid w:val="00333D62"/>
    <w:rsid w:val="0033401A"/>
    <w:rsid w:val="003341FB"/>
    <w:rsid w:val="0033438B"/>
    <w:rsid w:val="00334579"/>
    <w:rsid w:val="00335858"/>
    <w:rsid w:val="00336BDA"/>
    <w:rsid w:val="00337A1C"/>
    <w:rsid w:val="0034133E"/>
    <w:rsid w:val="0034157F"/>
    <w:rsid w:val="00342145"/>
    <w:rsid w:val="0034273B"/>
    <w:rsid w:val="00342814"/>
    <w:rsid w:val="00342BD7"/>
    <w:rsid w:val="0034360B"/>
    <w:rsid w:val="003436D5"/>
    <w:rsid w:val="003447A1"/>
    <w:rsid w:val="00344B76"/>
    <w:rsid w:val="003455CF"/>
    <w:rsid w:val="003464C3"/>
    <w:rsid w:val="00346651"/>
    <w:rsid w:val="00346DB5"/>
    <w:rsid w:val="003473DC"/>
    <w:rsid w:val="003477B1"/>
    <w:rsid w:val="003508B3"/>
    <w:rsid w:val="0035093A"/>
    <w:rsid w:val="00350E20"/>
    <w:rsid w:val="003512CF"/>
    <w:rsid w:val="00352480"/>
    <w:rsid w:val="00352500"/>
    <w:rsid w:val="0035268E"/>
    <w:rsid w:val="003526A0"/>
    <w:rsid w:val="00352CDC"/>
    <w:rsid w:val="0035341C"/>
    <w:rsid w:val="00353BA2"/>
    <w:rsid w:val="00353DFC"/>
    <w:rsid w:val="00354409"/>
    <w:rsid w:val="00354E94"/>
    <w:rsid w:val="00355E96"/>
    <w:rsid w:val="003563AE"/>
    <w:rsid w:val="00356927"/>
    <w:rsid w:val="00356F62"/>
    <w:rsid w:val="00357380"/>
    <w:rsid w:val="003602D9"/>
    <w:rsid w:val="003604CE"/>
    <w:rsid w:val="00360E33"/>
    <w:rsid w:val="00361149"/>
    <w:rsid w:val="003612B0"/>
    <w:rsid w:val="00362533"/>
    <w:rsid w:val="00362C8E"/>
    <w:rsid w:val="00363193"/>
    <w:rsid w:val="00365CD4"/>
    <w:rsid w:val="003666BE"/>
    <w:rsid w:val="003702C8"/>
    <w:rsid w:val="00370E47"/>
    <w:rsid w:val="00371B09"/>
    <w:rsid w:val="00371ED7"/>
    <w:rsid w:val="003742AC"/>
    <w:rsid w:val="00374393"/>
    <w:rsid w:val="003746EB"/>
    <w:rsid w:val="00375377"/>
    <w:rsid w:val="00375381"/>
    <w:rsid w:val="00375A16"/>
    <w:rsid w:val="00376725"/>
    <w:rsid w:val="00376C25"/>
    <w:rsid w:val="00377043"/>
    <w:rsid w:val="00377B99"/>
    <w:rsid w:val="00377CE1"/>
    <w:rsid w:val="0038113B"/>
    <w:rsid w:val="00382FE2"/>
    <w:rsid w:val="00383A15"/>
    <w:rsid w:val="00383EBC"/>
    <w:rsid w:val="00384410"/>
    <w:rsid w:val="00385BF0"/>
    <w:rsid w:val="00386271"/>
    <w:rsid w:val="003867F1"/>
    <w:rsid w:val="00390074"/>
    <w:rsid w:val="003915D5"/>
    <w:rsid w:val="00392731"/>
    <w:rsid w:val="00392D72"/>
    <w:rsid w:val="003939D4"/>
    <w:rsid w:val="003939FF"/>
    <w:rsid w:val="00394B9D"/>
    <w:rsid w:val="00395C40"/>
    <w:rsid w:val="003A1C39"/>
    <w:rsid w:val="003A1C5B"/>
    <w:rsid w:val="003A2223"/>
    <w:rsid w:val="003A2A0F"/>
    <w:rsid w:val="003A36D2"/>
    <w:rsid w:val="003A371B"/>
    <w:rsid w:val="003A3BB2"/>
    <w:rsid w:val="003A45A1"/>
    <w:rsid w:val="003A5B0A"/>
    <w:rsid w:val="003A5F01"/>
    <w:rsid w:val="003A6714"/>
    <w:rsid w:val="003A6BAC"/>
    <w:rsid w:val="003A70A4"/>
    <w:rsid w:val="003A7C55"/>
    <w:rsid w:val="003A7EF3"/>
    <w:rsid w:val="003B0AED"/>
    <w:rsid w:val="003B159C"/>
    <w:rsid w:val="003B19BF"/>
    <w:rsid w:val="003B1AEB"/>
    <w:rsid w:val="003B1E0B"/>
    <w:rsid w:val="003B3395"/>
    <w:rsid w:val="003B369F"/>
    <w:rsid w:val="003B36A3"/>
    <w:rsid w:val="003B4C3A"/>
    <w:rsid w:val="003B535B"/>
    <w:rsid w:val="003B64BB"/>
    <w:rsid w:val="003B7013"/>
    <w:rsid w:val="003B7FE5"/>
    <w:rsid w:val="003C0D97"/>
    <w:rsid w:val="003C0F27"/>
    <w:rsid w:val="003C11C8"/>
    <w:rsid w:val="003C1243"/>
    <w:rsid w:val="003C25C9"/>
    <w:rsid w:val="003C2702"/>
    <w:rsid w:val="003C408A"/>
    <w:rsid w:val="003C46E0"/>
    <w:rsid w:val="003C7806"/>
    <w:rsid w:val="003C7CD4"/>
    <w:rsid w:val="003C7ED3"/>
    <w:rsid w:val="003D092E"/>
    <w:rsid w:val="003D0E16"/>
    <w:rsid w:val="003D109F"/>
    <w:rsid w:val="003D1815"/>
    <w:rsid w:val="003D1ECF"/>
    <w:rsid w:val="003D2478"/>
    <w:rsid w:val="003D34B1"/>
    <w:rsid w:val="003D3C45"/>
    <w:rsid w:val="003D493E"/>
    <w:rsid w:val="003D4CD2"/>
    <w:rsid w:val="003D50BA"/>
    <w:rsid w:val="003D5B1F"/>
    <w:rsid w:val="003D6019"/>
    <w:rsid w:val="003D7066"/>
    <w:rsid w:val="003E0BC2"/>
    <w:rsid w:val="003E147C"/>
    <w:rsid w:val="003E15FA"/>
    <w:rsid w:val="003E314F"/>
    <w:rsid w:val="003E37E6"/>
    <w:rsid w:val="003E4407"/>
    <w:rsid w:val="003E55E4"/>
    <w:rsid w:val="003E60F4"/>
    <w:rsid w:val="003E7093"/>
    <w:rsid w:val="003E74E3"/>
    <w:rsid w:val="003E7623"/>
    <w:rsid w:val="003E79F0"/>
    <w:rsid w:val="003E7FC7"/>
    <w:rsid w:val="003F05C7"/>
    <w:rsid w:val="003F0A77"/>
    <w:rsid w:val="003F1C1F"/>
    <w:rsid w:val="003F204E"/>
    <w:rsid w:val="003F2225"/>
    <w:rsid w:val="003F23E8"/>
    <w:rsid w:val="003F2693"/>
    <w:rsid w:val="003F2CD4"/>
    <w:rsid w:val="003F579F"/>
    <w:rsid w:val="003F66CA"/>
    <w:rsid w:val="003F6BBE"/>
    <w:rsid w:val="003F753C"/>
    <w:rsid w:val="004000E8"/>
    <w:rsid w:val="004011AC"/>
    <w:rsid w:val="0040261A"/>
    <w:rsid w:val="00402E2B"/>
    <w:rsid w:val="0040389D"/>
    <w:rsid w:val="00403C5C"/>
    <w:rsid w:val="00404A5D"/>
    <w:rsid w:val="00404C68"/>
    <w:rsid w:val="0040512B"/>
    <w:rsid w:val="004058AA"/>
    <w:rsid w:val="00405CA0"/>
    <w:rsid w:val="00405CA5"/>
    <w:rsid w:val="00406380"/>
    <w:rsid w:val="004074D7"/>
    <w:rsid w:val="00407605"/>
    <w:rsid w:val="00407CD3"/>
    <w:rsid w:val="00410134"/>
    <w:rsid w:val="00410B72"/>
    <w:rsid w:val="00410B7E"/>
    <w:rsid w:val="00410D7F"/>
    <w:rsid w:val="00410F18"/>
    <w:rsid w:val="0041203C"/>
    <w:rsid w:val="0041207E"/>
    <w:rsid w:val="004121FD"/>
    <w:rsid w:val="00412229"/>
    <w:rsid w:val="004124A7"/>
    <w:rsid w:val="0041263E"/>
    <w:rsid w:val="00413AAC"/>
    <w:rsid w:val="00413E92"/>
    <w:rsid w:val="00415418"/>
    <w:rsid w:val="004201C5"/>
    <w:rsid w:val="00420FBB"/>
    <w:rsid w:val="00421105"/>
    <w:rsid w:val="00422AA4"/>
    <w:rsid w:val="00422DE1"/>
    <w:rsid w:val="00423932"/>
    <w:rsid w:val="004242F4"/>
    <w:rsid w:val="00424494"/>
    <w:rsid w:val="00425467"/>
    <w:rsid w:val="00425827"/>
    <w:rsid w:val="00426143"/>
    <w:rsid w:val="00427248"/>
    <w:rsid w:val="00430650"/>
    <w:rsid w:val="00430B0A"/>
    <w:rsid w:val="00432B91"/>
    <w:rsid w:val="00434314"/>
    <w:rsid w:val="0043655D"/>
    <w:rsid w:val="00437447"/>
    <w:rsid w:val="00437A8D"/>
    <w:rsid w:val="00437D67"/>
    <w:rsid w:val="00441A92"/>
    <w:rsid w:val="004427A1"/>
    <w:rsid w:val="004431DC"/>
    <w:rsid w:val="00444B01"/>
    <w:rsid w:val="00444F56"/>
    <w:rsid w:val="00446488"/>
    <w:rsid w:val="004504DA"/>
    <w:rsid w:val="004507C5"/>
    <w:rsid w:val="004517AA"/>
    <w:rsid w:val="00452CAC"/>
    <w:rsid w:val="00454743"/>
    <w:rsid w:val="00455120"/>
    <w:rsid w:val="004561D1"/>
    <w:rsid w:val="0045669A"/>
    <w:rsid w:val="00456B0C"/>
    <w:rsid w:val="00457565"/>
    <w:rsid w:val="0045799F"/>
    <w:rsid w:val="00457B4C"/>
    <w:rsid w:val="00457B71"/>
    <w:rsid w:val="00457CEE"/>
    <w:rsid w:val="0046008C"/>
    <w:rsid w:val="00461FDA"/>
    <w:rsid w:val="0046464B"/>
    <w:rsid w:val="00464689"/>
    <w:rsid w:val="004649A5"/>
    <w:rsid w:val="004653AC"/>
    <w:rsid w:val="0046646C"/>
    <w:rsid w:val="004669E2"/>
    <w:rsid w:val="00467BCF"/>
    <w:rsid w:val="00470C31"/>
    <w:rsid w:val="00471090"/>
    <w:rsid w:val="00471DE0"/>
    <w:rsid w:val="00472708"/>
    <w:rsid w:val="00472E14"/>
    <w:rsid w:val="0047342C"/>
    <w:rsid w:val="004734D0"/>
    <w:rsid w:val="00473576"/>
    <w:rsid w:val="004740BF"/>
    <w:rsid w:val="0047556B"/>
    <w:rsid w:val="00475A1A"/>
    <w:rsid w:val="00476DCD"/>
    <w:rsid w:val="00477476"/>
    <w:rsid w:val="00477768"/>
    <w:rsid w:val="0048060F"/>
    <w:rsid w:val="00482FC1"/>
    <w:rsid w:val="00483F7C"/>
    <w:rsid w:val="00484489"/>
    <w:rsid w:val="00484A46"/>
    <w:rsid w:val="00484FCA"/>
    <w:rsid w:val="004853FE"/>
    <w:rsid w:val="00485CD7"/>
    <w:rsid w:val="004863DE"/>
    <w:rsid w:val="004874B9"/>
    <w:rsid w:val="0048752D"/>
    <w:rsid w:val="00491312"/>
    <w:rsid w:val="00491554"/>
    <w:rsid w:val="00491C57"/>
    <w:rsid w:val="00492BC5"/>
    <w:rsid w:val="004934E6"/>
    <w:rsid w:val="004938A3"/>
    <w:rsid w:val="00495258"/>
    <w:rsid w:val="004964F1"/>
    <w:rsid w:val="004966DA"/>
    <w:rsid w:val="004A11BA"/>
    <w:rsid w:val="004A16BC"/>
    <w:rsid w:val="004A2B94"/>
    <w:rsid w:val="004A2DA1"/>
    <w:rsid w:val="004A33FB"/>
    <w:rsid w:val="004A3EAB"/>
    <w:rsid w:val="004A4E9C"/>
    <w:rsid w:val="004A5796"/>
    <w:rsid w:val="004A6CA1"/>
    <w:rsid w:val="004A7CB4"/>
    <w:rsid w:val="004B1824"/>
    <w:rsid w:val="004B5A68"/>
    <w:rsid w:val="004B5B26"/>
    <w:rsid w:val="004B5CA1"/>
    <w:rsid w:val="004B6C7D"/>
    <w:rsid w:val="004B6EA2"/>
    <w:rsid w:val="004B6F6A"/>
    <w:rsid w:val="004B70D5"/>
    <w:rsid w:val="004B7959"/>
    <w:rsid w:val="004B7C0C"/>
    <w:rsid w:val="004C187B"/>
    <w:rsid w:val="004C2AFD"/>
    <w:rsid w:val="004C35EC"/>
    <w:rsid w:val="004C3898"/>
    <w:rsid w:val="004C4970"/>
    <w:rsid w:val="004C4982"/>
    <w:rsid w:val="004D014B"/>
    <w:rsid w:val="004D0CF2"/>
    <w:rsid w:val="004D1DF4"/>
    <w:rsid w:val="004D2730"/>
    <w:rsid w:val="004D27B6"/>
    <w:rsid w:val="004D2BF7"/>
    <w:rsid w:val="004D2FA1"/>
    <w:rsid w:val="004D3616"/>
    <w:rsid w:val="004D36B1"/>
    <w:rsid w:val="004D38FE"/>
    <w:rsid w:val="004D3CC7"/>
    <w:rsid w:val="004D5D85"/>
    <w:rsid w:val="004D61B4"/>
    <w:rsid w:val="004D73A3"/>
    <w:rsid w:val="004D74EE"/>
    <w:rsid w:val="004D7645"/>
    <w:rsid w:val="004D7EBD"/>
    <w:rsid w:val="004E0224"/>
    <w:rsid w:val="004E0317"/>
    <w:rsid w:val="004E0741"/>
    <w:rsid w:val="004E0FF7"/>
    <w:rsid w:val="004E130B"/>
    <w:rsid w:val="004E1F90"/>
    <w:rsid w:val="004E20AC"/>
    <w:rsid w:val="004E2650"/>
    <w:rsid w:val="004E2680"/>
    <w:rsid w:val="004E28F9"/>
    <w:rsid w:val="004E3DE5"/>
    <w:rsid w:val="004E462E"/>
    <w:rsid w:val="004E50F7"/>
    <w:rsid w:val="004E56DC"/>
    <w:rsid w:val="004E76F4"/>
    <w:rsid w:val="004E7728"/>
    <w:rsid w:val="004E7B3F"/>
    <w:rsid w:val="004F0B4E"/>
    <w:rsid w:val="004F0B6C"/>
    <w:rsid w:val="004F2078"/>
    <w:rsid w:val="004F219E"/>
    <w:rsid w:val="004F2899"/>
    <w:rsid w:val="004F28B2"/>
    <w:rsid w:val="004F311F"/>
    <w:rsid w:val="004F4DA3"/>
    <w:rsid w:val="004F4F54"/>
    <w:rsid w:val="004F6CE8"/>
    <w:rsid w:val="004F6E9D"/>
    <w:rsid w:val="00501696"/>
    <w:rsid w:val="00501BAC"/>
    <w:rsid w:val="005039D1"/>
    <w:rsid w:val="00504C9E"/>
    <w:rsid w:val="005055E7"/>
    <w:rsid w:val="0050582E"/>
    <w:rsid w:val="00506557"/>
    <w:rsid w:val="0050677A"/>
    <w:rsid w:val="0050742B"/>
    <w:rsid w:val="0051040B"/>
    <w:rsid w:val="005108D8"/>
    <w:rsid w:val="005115B0"/>
    <w:rsid w:val="0051168F"/>
    <w:rsid w:val="005116F9"/>
    <w:rsid w:val="00511A94"/>
    <w:rsid w:val="00513A8B"/>
    <w:rsid w:val="00514B68"/>
    <w:rsid w:val="005153A7"/>
    <w:rsid w:val="00515883"/>
    <w:rsid w:val="00516065"/>
    <w:rsid w:val="00516EFF"/>
    <w:rsid w:val="00520D7E"/>
    <w:rsid w:val="0052199A"/>
    <w:rsid w:val="005219CF"/>
    <w:rsid w:val="00521A4E"/>
    <w:rsid w:val="00521AC9"/>
    <w:rsid w:val="005227C1"/>
    <w:rsid w:val="00522A15"/>
    <w:rsid w:val="00526258"/>
    <w:rsid w:val="005265EB"/>
    <w:rsid w:val="00526685"/>
    <w:rsid w:val="00527877"/>
    <w:rsid w:val="00532375"/>
    <w:rsid w:val="00533354"/>
    <w:rsid w:val="00534883"/>
    <w:rsid w:val="00534B59"/>
    <w:rsid w:val="00534CE0"/>
    <w:rsid w:val="0053525B"/>
    <w:rsid w:val="005357E0"/>
    <w:rsid w:val="00536759"/>
    <w:rsid w:val="00537C62"/>
    <w:rsid w:val="00537CFB"/>
    <w:rsid w:val="00537DEF"/>
    <w:rsid w:val="0054019B"/>
    <w:rsid w:val="00540339"/>
    <w:rsid w:val="005403B6"/>
    <w:rsid w:val="00540563"/>
    <w:rsid w:val="00541D2B"/>
    <w:rsid w:val="00542CB4"/>
    <w:rsid w:val="00542CC1"/>
    <w:rsid w:val="00544F74"/>
    <w:rsid w:val="00545E8B"/>
    <w:rsid w:val="00546970"/>
    <w:rsid w:val="00547BA5"/>
    <w:rsid w:val="005508F2"/>
    <w:rsid w:val="00550A54"/>
    <w:rsid w:val="00550D01"/>
    <w:rsid w:val="00551E8B"/>
    <w:rsid w:val="00551F1D"/>
    <w:rsid w:val="0055208F"/>
    <w:rsid w:val="00552509"/>
    <w:rsid w:val="00552AB5"/>
    <w:rsid w:val="00552B4F"/>
    <w:rsid w:val="005530B3"/>
    <w:rsid w:val="00553838"/>
    <w:rsid w:val="005544BA"/>
    <w:rsid w:val="0055495B"/>
    <w:rsid w:val="00554E19"/>
    <w:rsid w:val="00555428"/>
    <w:rsid w:val="00556205"/>
    <w:rsid w:val="00556718"/>
    <w:rsid w:val="00556BEF"/>
    <w:rsid w:val="005605A3"/>
    <w:rsid w:val="0056121F"/>
    <w:rsid w:val="0056149A"/>
    <w:rsid w:val="00561681"/>
    <w:rsid w:val="0056196D"/>
    <w:rsid w:val="00561F0D"/>
    <w:rsid w:val="00563615"/>
    <w:rsid w:val="00564A85"/>
    <w:rsid w:val="00565032"/>
    <w:rsid w:val="00567363"/>
    <w:rsid w:val="00572505"/>
    <w:rsid w:val="0057491E"/>
    <w:rsid w:val="00574B87"/>
    <w:rsid w:val="00575A83"/>
    <w:rsid w:val="00575B5E"/>
    <w:rsid w:val="00576A36"/>
    <w:rsid w:val="00576E82"/>
    <w:rsid w:val="00580332"/>
    <w:rsid w:val="005807F0"/>
    <w:rsid w:val="00580A7B"/>
    <w:rsid w:val="005815F5"/>
    <w:rsid w:val="00582809"/>
    <w:rsid w:val="0058284F"/>
    <w:rsid w:val="00584127"/>
    <w:rsid w:val="00584EA9"/>
    <w:rsid w:val="005864B7"/>
    <w:rsid w:val="00586BA1"/>
    <w:rsid w:val="0058798C"/>
    <w:rsid w:val="00590033"/>
    <w:rsid w:val="005900FA"/>
    <w:rsid w:val="005921C9"/>
    <w:rsid w:val="005935A4"/>
    <w:rsid w:val="005948C2"/>
    <w:rsid w:val="005955D0"/>
    <w:rsid w:val="00595DCA"/>
    <w:rsid w:val="005971E3"/>
    <w:rsid w:val="0059779B"/>
    <w:rsid w:val="005A0CC3"/>
    <w:rsid w:val="005A1C1D"/>
    <w:rsid w:val="005A209A"/>
    <w:rsid w:val="005A2765"/>
    <w:rsid w:val="005A2E89"/>
    <w:rsid w:val="005A308D"/>
    <w:rsid w:val="005A3565"/>
    <w:rsid w:val="005A6033"/>
    <w:rsid w:val="005A662D"/>
    <w:rsid w:val="005A69E4"/>
    <w:rsid w:val="005A69E7"/>
    <w:rsid w:val="005A7DD8"/>
    <w:rsid w:val="005A7DF4"/>
    <w:rsid w:val="005B0168"/>
    <w:rsid w:val="005B01B6"/>
    <w:rsid w:val="005B09CF"/>
    <w:rsid w:val="005B1409"/>
    <w:rsid w:val="005B16E5"/>
    <w:rsid w:val="005B1C76"/>
    <w:rsid w:val="005B35D7"/>
    <w:rsid w:val="005B392A"/>
    <w:rsid w:val="005B3AA3"/>
    <w:rsid w:val="005B4DA0"/>
    <w:rsid w:val="005B537D"/>
    <w:rsid w:val="005B53AF"/>
    <w:rsid w:val="005B5F06"/>
    <w:rsid w:val="005B6F83"/>
    <w:rsid w:val="005B72CC"/>
    <w:rsid w:val="005B7571"/>
    <w:rsid w:val="005C0D37"/>
    <w:rsid w:val="005C1BC0"/>
    <w:rsid w:val="005C27B5"/>
    <w:rsid w:val="005C2E56"/>
    <w:rsid w:val="005C360F"/>
    <w:rsid w:val="005C74FB"/>
    <w:rsid w:val="005C7DB7"/>
    <w:rsid w:val="005D0D05"/>
    <w:rsid w:val="005D1184"/>
    <w:rsid w:val="005D1602"/>
    <w:rsid w:val="005D2BFC"/>
    <w:rsid w:val="005D2F0B"/>
    <w:rsid w:val="005D4692"/>
    <w:rsid w:val="005D56DE"/>
    <w:rsid w:val="005D66FA"/>
    <w:rsid w:val="005E030B"/>
    <w:rsid w:val="005E266F"/>
    <w:rsid w:val="005E281C"/>
    <w:rsid w:val="005E385F"/>
    <w:rsid w:val="005E3DA2"/>
    <w:rsid w:val="005E58EC"/>
    <w:rsid w:val="005E5B81"/>
    <w:rsid w:val="005E6433"/>
    <w:rsid w:val="005E660A"/>
    <w:rsid w:val="005E716C"/>
    <w:rsid w:val="005E77C1"/>
    <w:rsid w:val="005F046F"/>
    <w:rsid w:val="005F223E"/>
    <w:rsid w:val="005F2528"/>
    <w:rsid w:val="005F26E3"/>
    <w:rsid w:val="005F28EA"/>
    <w:rsid w:val="005F2CB1"/>
    <w:rsid w:val="005F3025"/>
    <w:rsid w:val="005F3A06"/>
    <w:rsid w:val="005F3B58"/>
    <w:rsid w:val="005F486F"/>
    <w:rsid w:val="005F618C"/>
    <w:rsid w:val="005F6AD4"/>
    <w:rsid w:val="005F70BD"/>
    <w:rsid w:val="005F72FA"/>
    <w:rsid w:val="005F766F"/>
    <w:rsid w:val="00600386"/>
    <w:rsid w:val="0060283C"/>
    <w:rsid w:val="00604450"/>
    <w:rsid w:val="00604F14"/>
    <w:rsid w:val="006051BE"/>
    <w:rsid w:val="006057AC"/>
    <w:rsid w:val="00605A84"/>
    <w:rsid w:val="0060629E"/>
    <w:rsid w:val="0060656B"/>
    <w:rsid w:val="00611294"/>
    <w:rsid w:val="00611B83"/>
    <w:rsid w:val="00611BCB"/>
    <w:rsid w:val="00613257"/>
    <w:rsid w:val="00614456"/>
    <w:rsid w:val="00614DAB"/>
    <w:rsid w:val="006150D7"/>
    <w:rsid w:val="006154C2"/>
    <w:rsid w:val="006176AA"/>
    <w:rsid w:val="00617C78"/>
    <w:rsid w:val="00617CE0"/>
    <w:rsid w:val="00620A71"/>
    <w:rsid w:val="00620D80"/>
    <w:rsid w:val="00621E45"/>
    <w:rsid w:val="006234A6"/>
    <w:rsid w:val="0062372B"/>
    <w:rsid w:val="0062531B"/>
    <w:rsid w:val="00626A3E"/>
    <w:rsid w:val="00626F49"/>
    <w:rsid w:val="00630001"/>
    <w:rsid w:val="006309D9"/>
    <w:rsid w:val="006311A5"/>
    <w:rsid w:val="006311B3"/>
    <w:rsid w:val="00631FED"/>
    <w:rsid w:val="0063284C"/>
    <w:rsid w:val="006329CC"/>
    <w:rsid w:val="00632D01"/>
    <w:rsid w:val="0063327E"/>
    <w:rsid w:val="006339D3"/>
    <w:rsid w:val="00636398"/>
    <w:rsid w:val="006368D3"/>
    <w:rsid w:val="0063697F"/>
    <w:rsid w:val="00637344"/>
    <w:rsid w:val="006377EC"/>
    <w:rsid w:val="00637DED"/>
    <w:rsid w:val="00641122"/>
    <w:rsid w:val="0064151F"/>
    <w:rsid w:val="00641533"/>
    <w:rsid w:val="006418F3"/>
    <w:rsid w:val="00641F0C"/>
    <w:rsid w:val="00642056"/>
    <w:rsid w:val="0064208D"/>
    <w:rsid w:val="00642943"/>
    <w:rsid w:val="00643475"/>
    <w:rsid w:val="0064396A"/>
    <w:rsid w:val="00643E53"/>
    <w:rsid w:val="00644D26"/>
    <w:rsid w:val="0064624E"/>
    <w:rsid w:val="00646F5F"/>
    <w:rsid w:val="00647080"/>
    <w:rsid w:val="00650AB9"/>
    <w:rsid w:val="0065105B"/>
    <w:rsid w:val="00651AEA"/>
    <w:rsid w:val="00653E12"/>
    <w:rsid w:val="00654145"/>
    <w:rsid w:val="00654846"/>
    <w:rsid w:val="006548C2"/>
    <w:rsid w:val="006555E8"/>
    <w:rsid w:val="00655733"/>
    <w:rsid w:val="00655ACD"/>
    <w:rsid w:val="006562F1"/>
    <w:rsid w:val="00656A92"/>
    <w:rsid w:val="00656DDE"/>
    <w:rsid w:val="00657352"/>
    <w:rsid w:val="0066011D"/>
    <w:rsid w:val="006601CF"/>
    <w:rsid w:val="006607C0"/>
    <w:rsid w:val="006613A6"/>
    <w:rsid w:val="0066187F"/>
    <w:rsid w:val="006627A2"/>
    <w:rsid w:val="00663292"/>
    <w:rsid w:val="006634E6"/>
    <w:rsid w:val="00663CC3"/>
    <w:rsid w:val="006655EE"/>
    <w:rsid w:val="00666197"/>
    <w:rsid w:val="006669B4"/>
    <w:rsid w:val="00667D12"/>
    <w:rsid w:val="00667EE7"/>
    <w:rsid w:val="00670922"/>
    <w:rsid w:val="00670BE1"/>
    <w:rsid w:val="00670E50"/>
    <w:rsid w:val="006711FC"/>
    <w:rsid w:val="00671759"/>
    <w:rsid w:val="00671948"/>
    <w:rsid w:val="0067218F"/>
    <w:rsid w:val="0067286C"/>
    <w:rsid w:val="006741F2"/>
    <w:rsid w:val="006748C8"/>
    <w:rsid w:val="00674CC3"/>
    <w:rsid w:val="006754D8"/>
    <w:rsid w:val="00675632"/>
    <w:rsid w:val="006756AF"/>
    <w:rsid w:val="00675C33"/>
    <w:rsid w:val="00675C72"/>
    <w:rsid w:val="006770BC"/>
    <w:rsid w:val="006771F9"/>
    <w:rsid w:val="006772ED"/>
    <w:rsid w:val="00677517"/>
    <w:rsid w:val="0067754A"/>
    <w:rsid w:val="006776D7"/>
    <w:rsid w:val="00680199"/>
    <w:rsid w:val="00680BFD"/>
    <w:rsid w:val="00681003"/>
    <w:rsid w:val="0068162B"/>
    <w:rsid w:val="006817C9"/>
    <w:rsid w:val="006817F8"/>
    <w:rsid w:val="00683380"/>
    <w:rsid w:val="00683564"/>
    <w:rsid w:val="00683ECE"/>
    <w:rsid w:val="006857EC"/>
    <w:rsid w:val="0068698B"/>
    <w:rsid w:val="00686C2E"/>
    <w:rsid w:val="006914AF"/>
    <w:rsid w:val="0069159C"/>
    <w:rsid w:val="00694C78"/>
    <w:rsid w:val="00695FC2"/>
    <w:rsid w:val="00696250"/>
    <w:rsid w:val="006965CB"/>
    <w:rsid w:val="00696949"/>
    <w:rsid w:val="00696E76"/>
    <w:rsid w:val="00697052"/>
    <w:rsid w:val="00697BFF"/>
    <w:rsid w:val="006A0001"/>
    <w:rsid w:val="006A045A"/>
    <w:rsid w:val="006A1561"/>
    <w:rsid w:val="006A2AC8"/>
    <w:rsid w:val="006A46FB"/>
    <w:rsid w:val="006A4EDC"/>
    <w:rsid w:val="006A5E28"/>
    <w:rsid w:val="006A5E52"/>
    <w:rsid w:val="006A6226"/>
    <w:rsid w:val="006A697B"/>
    <w:rsid w:val="006A6A5B"/>
    <w:rsid w:val="006A763B"/>
    <w:rsid w:val="006A7AFF"/>
    <w:rsid w:val="006B1816"/>
    <w:rsid w:val="006B1831"/>
    <w:rsid w:val="006B1E8B"/>
    <w:rsid w:val="006B2099"/>
    <w:rsid w:val="006B2689"/>
    <w:rsid w:val="006B30E1"/>
    <w:rsid w:val="006B3CBD"/>
    <w:rsid w:val="006B50CF"/>
    <w:rsid w:val="006B5FEB"/>
    <w:rsid w:val="006B657F"/>
    <w:rsid w:val="006B665F"/>
    <w:rsid w:val="006B6E6B"/>
    <w:rsid w:val="006B7B70"/>
    <w:rsid w:val="006C03B8"/>
    <w:rsid w:val="006C16E6"/>
    <w:rsid w:val="006C3433"/>
    <w:rsid w:val="006C370B"/>
    <w:rsid w:val="006C3D8C"/>
    <w:rsid w:val="006C5EC9"/>
    <w:rsid w:val="006C6059"/>
    <w:rsid w:val="006C653F"/>
    <w:rsid w:val="006C7522"/>
    <w:rsid w:val="006C76FB"/>
    <w:rsid w:val="006C7CF1"/>
    <w:rsid w:val="006D0BCC"/>
    <w:rsid w:val="006D166B"/>
    <w:rsid w:val="006D2952"/>
    <w:rsid w:val="006D2F99"/>
    <w:rsid w:val="006D3D12"/>
    <w:rsid w:val="006D536C"/>
    <w:rsid w:val="006D5688"/>
    <w:rsid w:val="006D653C"/>
    <w:rsid w:val="006D6F08"/>
    <w:rsid w:val="006D73D6"/>
    <w:rsid w:val="006E04BA"/>
    <w:rsid w:val="006E05EA"/>
    <w:rsid w:val="006E062C"/>
    <w:rsid w:val="006E06F4"/>
    <w:rsid w:val="006E07BD"/>
    <w:rsid w:val="006E1154"/>
    <w:rsid w:val="006E154E"/>
    <w:rsid w:val="006E1C82"/>
    <w:rsid w:val="006E1F5A"/>
    <w:rsid w:val="006E2245"/>
    <w:rsid w:val="006E262D"/>
    <w:rsid w:val="006E28B7"/>
    <w:rsid w:val="006E2A9B"/>
    <w:rsid w:val="006E3310"/>
    <w:rsid w:val="006E38B6"/>
    <w:rsid w:val="006E3C3D"/>
    <w:rsid w:val="006E40CF"/>
    <w:rsid w:val="006E4E39"/>
    <w:rsid w:val="006E4FD0"/>
    <w:rsid w:val="006E565E"/>
    <w:rsid w:val="006E5835"/>
    <w:rsid w:val="006E673D"/>
    <w:rsid w:val="006E6FB4"/>
    <w:rsid w:val="006E746F"/>
    <w:rsid w:val="006E7B43"/>
    <w:rsid w:val="006E7D3B"/>
    <w:rsid w:val="006F0370"/>
    <w:rsid w:val="006F039E"/>
    <w:rsid w:val="006F14A7"/>
    <w:rsid w:val="006F1A28"/>
    <w:rsid w:val="006F1B70"/>
    <w:rsid w:val="006F21D4"/>
    <w:rsid w:val="006F3115"/>
    <w:rsid w:val="006F33DA"/>
    <w:rsid w:val="006F341D"/>
    <w:rsid w:val="006F3B67"/>
    <w:rsid w:val="006F3CDE"/>
    <w:rsid w:val="006F4034"/>
    <w:rsid w:val="006F499C"/>
    <w:rsid w:val="006F4BE4"/>
    <w:rsid w:val="006F4CD1"/>
    <w:rsid w:val="006F5014"/>
    <w:rsid w:val="006F545D"/>
    <w:rsid w:val="006F58D4"/>
    <w:rsid w:val="006F604B"/>
    <w:rsid w:val="006F64B0"/>
    <w:rsid w:val="006F6582"/>
    <w:rsid w:val="006F753D"/>
    <w:rsid w:val="006F797A"/>
    <w:rsid w:val="00701B5E"/>
    <w:rsid w:val="00702ABB"/>
    <w:rsid w:val="00703063"/>
    <w:rsid w:val="0070346E"/>
    <w:rsid w:val="00704EDB"/>
    <w:rsid w:val="007054CB"/>
    <w:rsid w:val="0070560F"/>
    <w:rsid w:val="0070573B"/>
    <w:rsid w:val="00705D45"/>
    <w:rsid w:val="00706101"/>
    <w:rsid w:val="00706210"/>
    <w:rsid w:val="0070631F"/>
    <w:rsid w:val="0070672B"/>
    <w:rsid w:val="00706BC5"/>
    <w:rsid w:val="00707072"/>
    <w:rsid w:val="00707884"/>
    <w:rsid w:val="00707D61"/>
    <w:rsid w:val="00712287"/>
    <w:rsid w:val="007125A2"/>
    <w:rsid w:val="00712772"/>
    <w:rsid w:val="007130B2"/>
    <w:rsid w:val="00713827"/>
    <w:rsid w:val="00713D75"/>
    <w:rsid w:val="00713DDD"/>
    <w:rsid w:val="00713E11"/>
    <w:rsid w:val="007148D3"/>
    <w:rsid w:val="00714BDC"/>
    <w:rsid w:val="00715B9A"/>
    <w:rsid w:val="00716268"/>
    <w:rsid w:val="00716325"/>
    <w:rsid w:val="007167FB"/>
    <w:rsid w:val="0071788B"/>
    <w:rsid w:val="00717A96"/>
    <w:rsid w:val="00717CF5"/>
    <w:rsid w:val="00721B32"/>
    <w:rsid w:val="00721C8B"/>
    <w:rsid w:val="0072270A"/>
    <w:rsid w:val="00723193"/>
    <w:rsid w:val="007243AE"/>
    <w:rsid w:val="007251BC"/>
    <w:rsid w:val="007257B9"/>
    <w:rsid w:val="007257D0"/>
    <w:rsid w:val="00725C18"/>
    <w:rsid w:val="00726EA6"/>
    <w:rsid w:val="00727208"/>
    <w:rsid w:val="00727680"/>
    <w:rsid w:val="007279B1"/>
    <w:rsid w:val="00731090"/>
    <w:rsid w:val="00731307"/>
    <w:rsid w:val="007314A1"/>
    <w:rsid w:val="00731546"/>
    <w:rsid w:val="0073164B"/>
    <w:rsid w:val="00731F28"/>
    <w:rsid w:val="00732A45"/>
    <w:rsid w:val="00732AC1"/>
    <w:rsid w:val="00733E45"/>
    <w:rsid w:val="007348B1"/>
    <w:rsid w:val="00734F62"/>
    <w:rsid w:val="0073554E"/>
    <w:rsid w:val="007362A6"/>
    <w:rsid w:val="00736D7D"/>
    <w:rsid w:val="00740E58"/>
    <w:rsid w:val="007415DB"/>
    <w:rsid w:val="00742520"/>
    <w:rsid w:val="007445A0"/>
    <w:rsid w:val="007450AA"/>
    <w:rsid w:val="0074524B"/>
    <w:rsid w:val="00745320"/>
    <w:rsid w:val="007454DE"/>
    <w:rsid w:val="00745576"/>
    <w:rsid w:val="007470AA"/>
    <w:rsid w:val="007473FF"/>
    <w:rsid w:val="00747D8B"/>
    <w:rsid w:val="00751228"/>
    <w:rsid w:val="007516F4"/>
    <w:rsid w:val="00754CA3"/>
    <w:rsid w:val="00755EEB"/>
    <w:rsid w:val="0075623F"/>
    <w:rsid w:val="00756E07"/>
    <w:rsid w:val="007571E1"/>
    <w:rsid w:val="007578F0"/>
    <w:rsid w:val="007603B2"/>
    <w:rsid w:val="007604B2"/>
    <w:rsid w:val="007605B7"/>
    <w:rsid w:val="00762306"/>
    <w:rsid w:val="00762A16"/>
    <w:rsid w:val="00762DBE"/>
    <w:rsid w:val="0076366B"/>
    <w:rsid w:val="00765281"/>
    <w:rsid w:val="00765474"/>
    <w:rsid w:val="007657F2"/>
    <w:rsid w:val="00766BAD"/>
    <w:rsid w:val="007715B0"/>
    <w:rsid w:val="0077270F"/>
    <w:rsid w:val="007729A2"/>
    <w:rsid w:val="00772FA2"/>
    <w:rsid w:val="007755F2"/>
    <w:rsid w:val="007757D2"/>
    <w:rsid w:val="00776402"/>
    <w:rsid w:val="00776971"/>
    <w:rsid w:val="00776EDE"/>
    <w:rsid w:val="007776D3"/>
    <w:rsid w:val="00780A80"/>
    <w:rsid w:val="00781223"/>
    <w:rsid w:val="00781378"/>
    <w:rsid w:val="007813F4"/>
    <w:rsid w:val="0078177E"/>
    <w:rsid w:val="0078304C"/>
    <w:rsid w:val="00783673"/>
    <w:rsid w:val="00783DA0"/>
    <w:rsid w:val="007848E3"/>
    <w:rsid w:val="00785396"/>
    <w:rsid w:val="00785490"/>
    <w:rsid w:val="00785B87"/>
    <w:rsid w:val="007865EE"/>
    <w:rsid w:val="00786E58"/>
    <w:rsid w:val="00786EC3"/>
    <w:rsid w:val="007873D7"/>
    <w:rsid w:val="00790514"/>
    <w:rsid w:val="00790974"/>
    <w:rsid w:val="007917F1"/>
    <w:rsid w:val="007919D9"/>
    <w:rsid w:val="007919DF"/>
    <w:rsid w:val="00792220"/>
    <w:rsid w:val="0079242E"/>
    <w:rsid w:val="007925EA"/>
    <w:rsid w:val="00792AEC"/>
    <w:rsid w:val="00793CD8"/>
    <w:rsid w:val="00794564"/>
    <w:rsid w:val="007951F4"/>
    <w:rsid w:val="00795C92"/>
    <w:rsid w:val="0079609F"/>
    <w:rsid w:val="00796231"/>
    <w:rsid w:val="007A1231"/>
    <w:rsid w:val="007A17D9"/>
    <w:rsid w:val="007A1CB3"/>
    <w:rsid w:val="007A1F6C"/>
    <w:rsid w:val="007A25BC"/>
    <w:rsid w:val="007A2C0F"/>
    <w:rsid w:val="007A306F"/>
    <w:rsid w:val="007A3D09"/>
    <w:rsid w:val="007A42B9"/>
    <w:rsid w:val="007A43A6"/>
    <w:rsid w:val="007A44B6"/>
    <w:rsid w:val="007A471B"/>
    <w:rsid w:val="007A58A6"/>
    <w:rsid w:val="007A5C52"/>
    <w:rsid w:val="007A62DD"/>
    <w:rsid w:val="007A66A4"/>
    <w:rsid w:val="007A6A9B"/>
    <w:rsid w:val="007A751B"/>
    <w:rsid w:val="007B3235"/>
    <w:rsid w:val="007B3399"/>
    <w:rsid w:val="007B37FA"/>
    <w:rsid w:val="007B3D2D"/>
    <w:rsid w:val="007B50AE"/>
    <w:rsid w:val="007B51DF"/>
    <w:rsid w:val="007B6AF0"/>
    <w:rsid w:val="007C03B9"/>
    <w:rsid w:val="007C05DD"/>
    <w:rsid w:val="007C21C3"/>
    <w:rsid w:val="007C2B9C"/>
    <w:rsid w:val="007C3D18"/>
    <w:rsid w:val="007C41E7"/>
    <w:rsid w:val="007C4F21"/>
    <w:rsid w:val="007C58C2"/>
    <w:rsid w:val="007C60BF"/>
    <w:rsid w:val="007C616E"/>
    <w:rsid w:val="007C6A07"/>
    <w:rsid w:val="007C6CC5"/>
    <w:rsid w:val="007C6DA6"/>
    <w:rsid w:val="007C6E5D"/>
    <w:rsid w:val="007C75A1"/>
    <w:rsid w:val="007C77A5"/>
    <w:rsid w:val="007C7DE3"/>
    <w:rsid w:val="007D04E5"/>
    <w:rsid w:val="007D0F87"/>
    <w:rsid w:val="007D2EF9"/>
    <w:rsid w:val="007D43C5"/>
    <w:rsid w:val="007D4BA3"/>
    <w:rsid w:val="007D5901"/>
    <w:rsid w:val="007D5AB3"/>
    <w:rsid w:val="007D5C0A"/>
    <w:rsid w:val="007D5F8D"/>
    <w:rsid w:val="007D61CC"/>
    <w:rsid w:val="007D63E2"/>
    <w:rsid w:val="007D746F"/>
    <w:rsid w:val="007D7526"/>
    <w:rsid w:val="007E0640"/>
    <w:rsid w:val="007E0E8C"/>
    <w:rsid w:val="007E1845"/>
    <w:rsid w:val="007E3B07"/>
    <w:rsid w:val="007E3BB9"/>
    <w:rsid w:val="007E4610"/>
    <w:rsid w:val="007E4715"/>
    <w:rsid w:val="007E505B"/>
    <w:rsid w:val="007E62B2"/>
    <w:rsid w:val="007E7091"/>
    <w:rsid w:val="007E71A4"/>
    <w:rsid w:val="007E7DE5"/>
    <w:rsid w:val="007F044C"/>
    <w:rsid w:val="007F0752"/>
    <w:rsid w:val="007F1A25"/>
    <w:rsid w:val="007F3437"/>
    <w:rsid w:val="007F4616"/>
    <w:rsid w:val="007F6C8E"/>
    <w:rsid w:val="007F757E"/>
    <w:rsid w:val="007F78B4"/>
    <w:rsid w:val="00800C45"/>
    <w:rsid w:val="00801331"/>
    <w:rsid w:val="0080137F"/>
    <w:rsid w:val="00801976"/>
    <w:rsid w:val="00801D41"/>
    <w:rsid w:val="00802CAB"/>
    <w:rsid w:val="00803120"/>
    <w:rsid w:val="0080379E"/>
    <w:rsid w:val="00803FAE"/>
    <w:rsid w:val="00804B74"/>
    <w:rsid w:val="00805740"/>
    <w:rsid w:val="0080605F"/>
    <w:rsid w:val="0080693B"/>
    <w:rsid w:val="00806C0A"/>
    <w:rsid w:val="00807786"/>
    <w:rsid w:val="0080786B"/>
    <w:rsid w:val="008079BA"/>
    <w:rsid w:val="008079C7"/>
    <w:rsid w:val="00807A55"/>
    <w:rsid w:val="00810258"/>
    <w:rsid w:val="00811FCB"/>
    <w:rsid w:val="00812965"/>
    <w:rsid w:val="0081395D"/>
    <w:rsid w:val="008145B4"/>
    <w:rsid w:val="00814BCB"/>
    <w:rsid w:val="00814CA8"/>
    <w:rsid w:val="00815184"/>
    <w:rsid w:val="0081567C"/>
    <w:rsid w:val="008158D6"/>
    <w:rsid w:val="00815F66"/>
    <w:rsid w:val="00816596"/>
    <w:rsid w:val="00817196"/>
    <w:rsid w:val="00817EC9"/>
    <w:rsid w:val="008219D7"/>
    <w:rsid w:val="00822372"/>
    <w:rsid w:val="00822663"/>
    <w:rsid w:val="00822A70"/>
    <w:rsid w:val="008235DB"/>
    <w:rsid w:val="00824AB4"/>
    <w:rsid w:val="00825C42"/>
    <w:rsid w:val="00825D25"/>
    <w:rsid w:val="00825D8A"/>
    <w:rsid w:val="00826C7F"/>
    <w:rsid w:val="00827D6F"/>
    <w:rsid w:val="00830A76"/>
    <w:rsid w:val="00831533"/>
    <w:rsid w:val="00831E1D"/>
    <w:rsid w:val="008320FD"/>
    <w:rsid w:val="00833339"/>
    <w:rsid w:val="00833552"/>
    <w:rsid w:val="008376AC"/>
    <w:rsid w:val="00837FEE"/>
    <w:rsid w:val="00840982"/>
    <w:rsid w:val="00840F5A"/>
    <w:rsid w:val="008420EC"/>
    <w:rsid w:val="0084266C"/>
    <w:rsid w:val="00842988"/>
    <w:rsid w:val="008433D1"/>
    <w:rsid w:val="00843FF7"/>
    <w:rsid w:val="008444E8"/>
    <w:rsid w:val="00844E80"/>
    <w:rsid w:val="00845AEA"/>
    <w:rsid w:val="00846FE7"/>
    <w:rsid w:val="00847539"/>
    <w:rsid w:val="00850033"/>
    <w:rsid w:val="0085065D"/>
    <w:rsid w:val="00850F76"/>
    <w:rsid w:val="008514FE"/>
    <w:rsid w:val="00851709"/>
    <w:rsid w:val="00851B28"/>
    <w:rsid w:val="00853447"/>
    <w:rsid w:val="0085349E"/>
    <w:rsid w:val="008547E0"/>
    <w:rsid w:val="00855624"/>
    <w:rsid w:val="00856380"/>
    <w:rsid w:val="008568C4"/>
    <w:rsid w:val="00856911"/>
    <w:rsid w:val="008569A9"/>
    <w:rsid w:val="00856CCB"/>
    <w:rsid w:val="0085702A"/>
    <w:rsid w:val="008574C9"/>
    <w:rsid w:val="0086193D"/>
    <w:rsid w:val="00862405"/>
    <w:rsid w:val="00862762"/>
    <w:rsid w:val="00864692"/>
    <w:rsid w:val="00865437"/>
    <w:rsid w:val="00865812"/>
    <w:rsid w:val="008658BA"/>
    <w:rsid w:val="00865E3E"/>
    <w:rsid w:val="0086648E"/>
    <w:rsid w:val="008674E4"/>
    <w:rsid w:val="008677FD"/>
    <w:rsid w:val="00867849"/>
    <w:rsid w:val="008706D4"/>
    <w:rsid w:val="00870C51"/>
    <w:rsid w:val="00870F8A"/>
    <w:rsid w:val="008719A4"/>
    <w:rsid w:val="00871D23"/>
    <w:rsid w:val="00871F40"/>
    <w:rsid w:val="00872697"/>
    <w:rsid w:val="0087288D"/>
    <w:rsid w:val="00874312"/>
    <w:rsid w:val="0087437C"/>
    <w:rsid w:val="00875CD7"/>
    <w:rsid w:val="00876096"/>
    <w:rsid w:val="0087677E"/>
    <w:rsid w:val="00876885"/>
    <w:rsid w:val="00876B4D"/>
    <w:rsid w:val="00877E29"/>
    <w:rsid w:val="00877F18"/>
    <w:rsid w:val="0088059D"/>
    <w:rsid w:val="008806C2"/>
    <w:rsid w:val="00882606"/>
    <w:rsid w:val="0088380F"/>
    <w:rsid w:val="00883BAA"/>
    <w:rsid w:val="00884346"/>
    <w:rsid w:val="00885931"/>
    <w:rsid w:val="00885C74"/>
    <w:rsid w:val="00885CCD"/>
    <w:rsid w:val="008869D5"/>
    <w:rsid w:val="00887D9C"/>
    <w:rsid w:val="008914EE"/>
    <w:rsid w:val="0089227F"/>
    <w:rsid w:val="0089248E"/>
    <w:rsid w:val="00893903"/>
    <w:rsid w:val="008941E3"/>
    <w:rsid w:val="00894A88"/>
    <w:rsid w:val="00895386"/>
    <w:rsid w:val="0089624D"/>
    <w:rsid w:val="0089665C"/>
    <w:rsid w:val="008A0629"/>
    <w:rsid w:val="008A18A6"/>
    <w:rsid w:val="008A21FF"/>
    <w:rsid w:val="008A2659"/>
    <w:rsid w:val="008A2CE2"/>
    <w:rsid w:val="008A30AC"/>
    <w:rsid w:val="008A44B8"/>
    <w:rsid w:val="008A51A8"/>
    <w:rsid w:val="008A54C7"/>
    <w:rsid w:val="008A5D08"/>
    <w:rsid w:val="008A5E99"/>
    <w:rsid w:val="008A77D8"/>
    <w:rsid w:val="008B0010"/>
    <w:rsid w:val="008B0483"/>
    <w:rsid w:val="008B06D9"/>
    <w:rsid w:val="008B0B11"/>
    <w:rsid w:val="008B120C"/>
    <w:rsid w:val="008B1D81"/>
    <w:rsid w:val="008B1DD6"/>
    <w:rsid w:val="008B2258"/>
    <w:rsid w:val="008B308E"/>
    <w:rsid w:val="008B42F8"/>
    <w:rsid w:val="008B51A0"/>
    <w:rsid w:val="008B5673"/>
    <w:rsid w:val="008B592A"/>
    <w:rsid w:val="008B5B56"/>
    <w:rsid w:val="008B6548"/>
    <w:rsid w:val="008B71F6"/>
    <w:rsid w:val="008B7B5C"/>
    <w:rsid w:val="008C0C99"/>
    <w:rsid w:val="008C17B7"/>
    <w:rsid w:val="008C2017"/>
    <w:rsid w:val="008C3E68"/>
    <w:rsid w:val="008C4958"/>
    <w:rsid w:val="008C4BAA"/>
    <w:rsid w:val="008C5809"/>
    <w:rsid w:val="008C6054"/>
    <w:rsid w:val="008C632E"/>
    <w:rsid w:val="008C6AE8"/>
    <w:rsid w:val="008C7573"/>
    <w:rsid w:val="008D00A5"/>
    <w:rsid w:val="008D0E21"/>
    <w:rsid w:val="008D1397"/>
    <w:rsid w:val="008D147A"/>
    <w:rsid w:val="008D20DB"/>
    <w:rsid w:val="008D3396"/>
    <w:rsid w:val="008D34F1"/>
    <w:rsid w:val="008D370E"/>
    <w:rsid w:val="008D39D8"/>
    <w:rsid w:val="008D4859"/>
    <w:rsid w:val="008D644C"/>
    <w:rsid w:val="008D6D17"/>
    <w:rsid w:val="008D6D1A"/>
    <w:rsid w:val="008E065E"/>
    <w:rsid w:val="008E0927"/>
    <w:rsid w:val="008E0E27"/>
    <w:rsid w:val="008E13AD"/>
    <w:rsid w:val="008E1909"/>
    <w:rsid w:val="008E2BFB"/>
    <w:rsid w:val="008E2C9B"/>
    <w:rsid w:val="008E3D19"/>
    <w:rsid w:val="008E424C"/>
    <w:rsid w:val="008E4C01"/>
    <w:rsid w:val="008E5189"/>
    <w:rsid w:val="008E5C4C"/>
    <w:rsid w:val="008E621F"/>
    <w:rsid w:val="008E6A13"/>
    <w:rsid w:val="008F0078"/>
    <w:rsid w:val="008F00E2"/>
    <w:rsid w:val="008F0F7B"/>
    <w:rsid w:val="008F1B2C"/>
    <w:rsid w:val="008F1C4E"/>
    <w:rsid w:val="008F1C70"/>
    <w:rsid w:val="008F1EAB"/>
    <w:rsid w:val="008F1F8C"/>
    <w:rsid w:val="008F2711"/>
    <w:rsid w:val="008F328C"/>
    <w:rsid w:val="008F33DC"/>
    <w:rsid w:val="008F477F"/>
    <w:rsid w:val="008F4D4A"/>
    <w:rsid w:val="008F54FB"/>
    <w:rsid w:val="008F5544"/>
    <w:rsid w:val="008F58C8"/>
    <w:rsid w:val="008F5D6B"/>
    <w:rsid w:val="008F6CE9"/>
    <w:rsid w:val="008F7059"/>
    <w:rsid w:val="008F743D"/>
    <w:rsid w:val="009010AA"/>
    <w:rsid w:val="00902350"/>
    <w:rsid w:val="00902747"/>
    <w:rsid w:val="0090336B"/>
    <w:rsid w:val="009033A3"/>
    <w:rsid w:val="00903674"/>
    <w:rsid w:val="00904C37"/>
    <w:rsid w:val="00904C9D"/>
    <w:rsid w:val="009053AA"/>
    <w:rsid w:val="009067D4"/>
    <w:rsid w:val="00906939"/>
    <w:rsid w:val="00906EDB"/>
    <w:rsid w:val="00906F83"/>
    <w:rsid w:val="0090776E"/>
    <w:rsid w:val="00907788"/>
    <w:rsid w:val="00910B7D"/>
    <w:rsid w:val="009113AB"/>
    <w:rsid w:val="00911A12"/>
    <w:rsid w:val="00911CCC"/>
    <w:rsid w:val="00911DFB"/>
    <w:rsid w:val="0091283F"/>
    <w:rsid w:val="00913319"/>
    <w:rsid w:val="009139D9"/>
    <w:rsid w:val="00914AD8"/>
    <w:rsid w:val="00916079"/>
    <w:rsid w:val="00917CE9"/>
    <w:rsid w:val="00917E6F"/>
    <w:rsid w:val="0092075B"/>
    <w:rsid w:val="00920BF2"/>
    <w:rsid w:val="00922010"/>
    <w:rsid w:val="0092480E"/>
    <w:rsid w:val="00924EE8"/>
    <w:rsid w:val="00925E1A"/>
    <w:rsid w:val="00925F22"/>
    <w:rsid w:val="00926227"/>
    <w:rsid w:val="009270C0"/>
    <w:rsid w:val="00930B45"/>
    <w:rsid w:val="00931AC1"/>
    <w:rsid w:val="00931BD9"/>
    <w:rsid w:val="00931F9A"/>
    <w:rsid w:val="00932835"/>
    <w:rsid w:val="00933238"/>
    <w:rsid w:val="00933A0A"/>
    <w:rsid w:val="00933EDA"/>
    <w:rsid w:val="0093455B"/>
    <w:rsid w:val="00934831"/>
    <w:rsid w:val="0093488E"/>
    <w:rsid w:val="0093630A"/>
    <w:rsid w:val="009367FB"/>
    <w:rsid w:val="009368F3"/>
    <w:rsid w:val="009370B9"/>
    <w:rsid w:val="00940399"/>
    <w:rsid w:val="00941636"/>
    <w:rsid w:val="0094168B"/>
    <w:rsid w:val="00941A8E"/>
    <w:rsid w:val="009429D3"/>
    <w:rsid w:val="00942C3B"/>
    <w:rsid w:val="00943742"/>
    <w:rsid w:val="00945C05"/>
    <w:rsid w:val="00946945"/>
    <w:rsid w:val="00946D0C"/>
    <w:rsid w:val="00947713"/>
    <w:rsid w:val="00950C5C"/>
    <w:rsid w:val="00950D5A"/>
    <w:rsid w:val="00950DE7"/>
    <w:rsid w:val="0095199D"/>
    <w:rsid w:val="009538C0"/>
    <w:rsid w:val="00953920"/>
    <w:rsid w:val="00953D47"/>
    <w:rsid w:val="00955D96"/>
    <w:rsid w:val="00955EBC"/>
    <w:rsid w:val="0095681E"/>
    <w:rsid w:val="00957098"/>
    <w:rsid w:val="009572D4"/>
    <w:rsid w:val="009607CA"/>
    <w:rsid w:val="00961921"/>
    <w:rsid w:val="00961C54"/>
    <w:rsid w:val="009630AB"/>
    <w:rsid w:val="0096430A"/>
    <w:rsid w:val="0096435E"/>
    <w:rsid w:val="00964C0D"/>
    <w:rsid w:val="0096554B"/>
    <w:rsid w:val="009655A6"/>
    <w:rsid w:val="0096584A"/>
    <w:rsid w:val="00965F02"/>
    <w:rsid w:val="00966A1F"/>
    <w:rsid w:val="009672DE"/>
    <w:rsid w:val="00971596"/>
    <w:rsid w:val="00971F08"/>
    <w:rsid w:val="0097540C"/>
    <w:rsid w:val="00975F9B"/>
    <w:rsid w:val="0097603D"/>
    <w:rsid w:val="00976949"/>
    <w:rsid w:val="00976D3D"/>
    <w:rsid w:val="00977AA4"/>
    <w:rsid w:val="00980249"/>
    <w:rsid w:val="00980477"/>
    <w:rsid w:val="00980C15"/>
    <w:rsid w:val="00980F17"/>
    <w:rsid w:val="009823AA"/>
    <w:rsid w:val="00982641"/>
    <w:rsid w:val="00982C59"/>
    <w:rsid w:val="00983504"/>
    <w:rsid w:val="00983C1E"/>
    <w:rsid w:val="009840A7"/>
    <w:rsid w:val="00984DD0"/>
    <w:rsid w:val="0098513D"/>
    <w:rsid w:val="00985253"/>
    <w:rsid w:val="009853B3"/>
    <w:rsid w:val="009867B5"/>
    <w:rsid w:val="00986F9B"/>
    <w:rsid w:val="0098786A"/>
    <w:rsid w:val="009901F3"/>
    <w:rsid w:val="00990630"/>
    <w:rsid w:val="00990807"/>
    <w:rsid w:val="00990CC1"/>
    <w:rsid w:val="00991761"/>
    <w:rsid w:val="00991B96"/>
    <w:rsid w:val="009920C2"/>
    <w:rsid w:val="009922D3"/>
    <w:rsid w:val="0099312B"/>
    <w:rsid w:val="00993862"/>
    <w:rsid w:val="00994143"/>
    <w:rsid w:val="00994A08"/>
    <w:rsid w:val="00994BD8"/>
    <w:rsid w:val="00994DCA"/>
    <w:rsid w:val="009960EC"/>
    <w:rsid w:val="00996CDA"/>
    <w:rsid w:val="009970DD"/>
    <w:rsid w:val="00997F92"/>
    <w:rsid w:val="009A007B"/>
    <w:rsid w:val="009A0569"/>
    <w:rsid w:val="009A0FBA"/>
    <w:rsid w:val="009A1601"/>
    <w:rsid w:val="009A2725"/>
    <w:rsid w:val="009A28C1"/>
    <w:rsid w:val="009A3521"/>
    <w:rsid w:val="009A3BB6"/>
    <w:rsid w:val="009A3C21"/>
    <w:rsid w:val="009A3FA0"/>
    <w:rsid w:val="009A462D"/>
    <w:rsid w:val="009A46F0"/>
    <w:rsid w:val="009A4917"/>
    <w:rsid w:val="009A4AF1"/>
    <w:rsid w:val="009A4E06"/>
    <w:rsid w:val="009A53E2"/>
    <w:rsid w:val="009A5CBA"/>
    <w:rsid w:val="009A6063"/>
    <w:rsid w:val="009A655F"/>
    <w:rsid w:val="009B05FA"/>
    <w:rsid w:val="009B10F7"/>
    <w:rsid w:val="009B175F"/>
    <w:rsid w:val="009B1F30"/>
    <w:rsid w:val="009B23BE"/>
    <w:rsid w:val="009B240B"/>
    <w:rsid w:val="009B27E2"/>
    <w:rsid w:val="009B2D72"/>
    <w:rsid w:val="009B38F1"/>
    <w:rsid w:val="009B3AC2"/>
    <w:rsid w:val="009B4DF4"/>
    <w:rsid w:val="009B4EDD"/>
    <w:rsid w:val="009B5245"/>
    <w:rsid w:val="009B5258"/>
    <w:rsid w:val="009B564E"/>
    <w:rsid w:val="009B5EAA"/>
    <w:rsid w:val="009B7E87"/>
    <w:rsid w:val="009C0169"/>
    <w:rsid w:val="009C091A"/>
    <w:rsid w:val="009C403E"/>
    <w:rsid w:val="009C56BB"/>
    <w:rsid w:val="009C593A"/>
    <w:rsid w:val="009C59CF"/>
    <w:rsid w:val="009C69B8"/>
    <w:rsid w:val="009C7398"/>
    <w:rsid w:val="009C7EC8"/>
    <w:rsid w:val="009D0115"/>
    <w:rsid w:val="009D0635"/>
    <w:rsid w:val="009D139F"/>
    <w:rsid w:val="009D1639"/>
    <w:rsid w:val="009D1AA3"/>
    <w:rsid w:val="009D1D7C"/>
    <w:rsid w:val="009D200F"/>
    <w:rsid w:val="009D2948"/>
    <w:rsid w:val="009D3123"/>
    <w:rsid w:val="009D35DD"/>
    <w:rsid w:val="009D38DF"/>
    <w:rsid w:val="009D47C4"/>
    <w:rsid w:val="009D4FF0"/>
    <w:rsid w:val="009D538C"/>
    <w:rsid w:val="009D6380"/>
    <w:rsid w:val="009D677C"/>
    <w:rsid w:val="009D703C"/>
    <w:rsid w:val="009D718F"/>
    <w:rsid w:val="009E00BF"/>
    <w:rsid w:val="009E068F"/>
    <w:rsid w:val="009E14E0"/>
    <w:rsid w:val="009E14FC"/>
    <w:rsid w:val="009E26DC"/>
    <w:rsid w:val="009E35DB"/>
    <w:rsid w:val="009E45CC"/>
    <w:rsid w:val="009E47A3"/>
    <w:rsid w:val="009E5196"/>
    <w:rsid w:val="009E5726"/>
    <w:rsid w:val="009E5E90"/>
    <w:rsid w:val="009E6213"/>
    <w:rsid w:val="009E622F"/>
    <w:rsid w:val="009E6C3F"/>
    <w:rsid w:val="009E72D3"/>
    <w:rsid w:val="009E7705"/>
    <w:rsid w:val="009F0690"/>
    <w:rsid w:val="009F08F3"/>
    <w:rsid w:val="009F1BF4"/>
    <w:rsid w:val="009F1F9E"/>
    <w:rsid w:val="009F344F"/>
    <w:rsid w:val="009F4403"/>
    <w:rsid w:val="009F6A6F"/>
    <w:rsid w:val="009F6B31"/>
    <w:rsid w:val="009F71C0"/>
    <w:rsid w:val="009F7A3C"/>
    <w:rsid w:val="00A003D0"/>
    <w:rsid w:val="00A00996"/>
    <w:rsid w:val="00A02887"/>
    <w:rsid w:val="00A031D8"/>
    <w:rsid w:val="00A04323"/>
    <w:rsid w:val="00A048A8"/>
    <w:rsid w:val="00A04F49"/>
    <w:rsid w:val="00A05503"/>
    <w:rsid w:val="00A05CF7"/>
    <w:rsid w:val="00A060F4"/>
    <w:rsid w:val="00A07222"/>
    <w:rsid w:val="00A104FA"/>
    <w:rsid w:val="00A10E10"/>
    <w:rsid w:val="00A11783"/>
    <w:rsid w:val="00A1278C"/>
    <w:rsid w:val="00A12FDD"/>
    <w:rsid w:val="00A13BE0"/>
    <w:rsid w:val="00A13E54"/>
    <w:rsid w:val="00A14EA5"/>
    <w:rsid w:val="00A1500E"/>
    <w:rsid w:val="00A150B4"/>
    <w:rsid w:val="00A150D3"/>
    <w:rsid w:val="00A159A7"/>
    <w:rsid w:val="00A15EF3"/>
    <w:rsid w:val="00A1692D"/>
    <w:rsid w:val="00A16D4B"/>
    <w:rsid w:val="00A17F63"/>
    <w:rsid w:val="00A20CEC"/>
    <w:rsid w:val="00A2193B"/>
    <w:rsid w:val="00A21E4D"/>
    <w:rsid w:val="00A230FC"/>
    <w:rsid w:val="00A2351A"/>
    <w:rsid w:val="00A241B7"/>
    <w:rsid w:val="00A25E1F"/>
    <w:rsid w:val="00A264A9"/>
    <w:rsid w:val="00A26DCF"/>
    <w:rsid w:val="00A27785"/>
    <w:rsid w:val="00A30187"/>
    <w:rsid w:val="00A31DF8"/>
    <w:rsid w:val="00A33E8D"/>
    <w:rsid w:val="00A33F35"/>
    <w:rsid w:val="00A3448A"/>
    <w:rsid w:val="00A34744"/>
    <w:rsid w:val="00A34B54"/>
    <w:rsid w:val="00A3591A"/>
    <w:rsid w:val="00A36297"/>
    <w:rsid w:val="00A3729D"/>
    <w:rsid w:val="00A37EC4"/>
    <w:rsid w:val="00A40253"/>
    <w:rsid w:val="00A406CA"/>
    <w:rsid w:val="00A40A01"/>
    <w:rsid w:val="00A40A2B"/>
    <w:rsid w:val="00A40CD7"/>
    <w:rsid w:val="00A41E04"/>
    <w:rsid w:val="00A41E2B"/>
    <w:rsid w:val="00A42C16"/>
    <w:rsid w:val="00A43830"/>
    <w:rsid w:val="00A438B4"/>
    <w:rsid w:val="00A44389"/>
    <w:rsid w:val="00A4444B"/>
    <w:rsid w:val="00A4591D"/>
    <w:rsid w:val="00A45B74"/>
    <w:rsid w:val="00A46F5D"/>
    <w:rsid w:val="00A47AB3"/>
    <w:rsid w:val="00A50690"/>
    <w:rsid w:val="00A528BC"/>
    <w:rsid w:val="00A52E1D"/>
    <w:rsid w:val="00A532C2"/>
    <w:rsid w:val="00A5340F"/>
    <w:rsid w:val="00A53F69"/>
    <w:rsid w:val="00A5452E"/>
    <w:rsid w:val="00A556E6"/>
    <w:rsid w:val="00A5631F"/>
    <w:rsid w:val="00A60430"/>
    <w:rsid w:val="00A6052C"/>
    <w:rsid w:val="00A61499"/>
    <w:rsid w:val="00A62423"/>
    <w:rsid w:val="00A62A77"/>
    <w:rsid w:val="00A63483"/>
    <w:rsid w:val="00A64D2D"/>
    <w:rsid w:val="00A655FF"/>
    <w:rsid w:val="00A657D7"/>
    <w:rsid w:val="00A65B11"/>
    <w:rsid w:val="00A660AC"/>
    <w:rsid w:val="00A660CF"/>
    <w:rsid w:val="00A6666A"/>
    <w:rsid w:val="00A67A81"/>
    <w:rsid w:val="00A67E6C"/>
    <w:rsid w:val="00A67EBE"/>
    <w:rsid w:val="00A705E9"/>
    <w:rsid w:val="00A71548"/>
    <w:rsid w:val="00A71B99"/>
    <w:rsid w:val="00A73410"/>
    <w:rsid w:val="00A738BC"/>
    <w:rsid w:val="00A739D0"/>
    <w:rsid w:val="00A76077"/>
    <w:rsid w:val="00A761D4"/>
    <w:rsid w:val="00A76FE5"/>
    <w:rsid w:val="00A77141"/>
    <w:rsid w:val="00A77492"/>
    <w:rsid w:val="00A776E2"/>
    <w:rsid w:val="00A77953"/>
    <w:rsid w:val="00A77D2D"/>
    <w:rsid w:val="00A77EC4"/>
    <w:rsid w:val="00A8063D"/>
    <w:rsid w:val="00A80A6C"/>
    <w:rsid w:val="00A80A70"/>
    <w:rsid w:val="00A81196"/>
    <w:rsid w:val="00A81539"/>
    <w:rsid w:val="00A84B2E"/>
    <w:rsid w:val="00A851BB"/>
    <w:rsid w:val="00A85B0C"/>
    <w:rsid w:val="00A86EC3"/>
    <w:rsid w:val="00A86F9A"/>
    <w:rsid w:val="00A9068A"/>
    <w:rsid w:val="00A90D6C"/>
    <w:rsid w:val="00A90DB5"/>
    <w:rsid w:val="00A916A4"/>
    <w:rsid w:val="00A91F71"/>
    <w:rsid w:val="00A925A3"/>
    <w:rsid w:val="00A925B3"/>
    <w:rsid w:val="00A92879"/>
    <w:rsid w:val="00A9399B"/>
    <w:rsid w:val="00A93A09"/>
    <w:rsid w:val="00A9442A"/>
    <w:rsid w:val="00A94898"/>
    <w:rsid w:val="00A94C5B"/>
    <w:rsid w:val="00A959CD"/>
    <w:rsid w:val="00A9667A"/>
    <w:rsid w:val="00A96871"/>
    <w:rsid w:val="00A9729B"/>
    <w:rsid w:val="00AA016F"/>
    <w:rsid w:val="00AA0F9F"/>
    <w:rsid w:val="00AA115E"/>
    <w:rsid w:val="00AA1ED6"/>
    <w:rsid w:val="00AA1FBE"/>
    <w:rsid w:val="00AA23AE"/>
    <w:rsid w:val="00AA262D"/>
    <w:rsid w:val="00AA2C91"/>
    <w:rsid w:val="00AA34E6"/>
    <w:rsid w:val="00AA390B"/>
    <w:rsid w:val="00AA3979"/>
    <w:rsid w:val="00AA3A2D"/>
    <w:rsid w:val="00AA4076"/>
    <w:rsid w:val="00AA4413"/>
    <w:rsid w:val="00AA44B6"/>
    <w:rsid w:val="00AA513A"/>
    <w:rsid w:val="00AA51D6"/>
    <w:rsid w:val="00AA5592"/>
    <w:rsid w:val="00AA5863"/>
    <w:rsid w:val="00AB035D"/>
    <w:rsid w:val="00AB081D"/>
    <w:rsid w:val="00AB0AC0"/>
    <w:rsid w:val="00AB0BC8"/>
    <w:rsid w:val="00AB0D23"/>
    <w:rsid w:val="00AB11CA"/>
    <w:rsid w:val="00AB14D9"/>
    <w:rsid w:val="00AB2438"/>
    <w:rsid w:val="00AB25ED"/>
    <w:rsid w:val="00AB2CEF"/>
    <w:rsid w:val="00AB4AB8"/>
    <w:rsid w:val="00AB4BE2"/>
    <w:rsid w:val="00AB55DD"/>
    <w:rsid w:val="00AB5862"/>
    <w:rsid w:val="00AB5CB3"/>
    <w:rsid w:val="00AB5DA9"/>
    <w:rsid w:val="00AB6290"/>
    <w:rsid w:val="00AB655E"/>
    <w:rsid w:val="00AB6FB5"/>
    <w:rsid w:val="00AB774D"/>
    <w:rsid w:val="00AB7D5B"/>
    <w:rsid w:val="00AB7EC2"/>
    <w:rsid w:val="00AC007F"/>
    <w:rsid w:val="00AC0B2A"/>
    <w:rsid w:val="00AC22BA"/>
    <w:rsid w:val="00AC28BB"/>
    <w:rsid w:val="00AC2ECD"/>
    <w:rsid w:val="00AC3119"/>
    <w:rsid w:val="00AC36BA"/>
    <w:rsid w:val="00AC404D"/>
    <w:rsid w:val="00AC49FB"/>
    <w:rsid w:val="00AC5A10"/>
    <w:rsid w:val="00AC77A8"/>
    <w:rsid w:val="00AD0AA3"/>
    <w:rsid w:val="00AD192C"/>
    <w:rsid w:val="00AD2881"/>
    <w:rsid w:val="00AD2ED0"/>
    <w:rsid w:val="00AD3B31"/>
    <w:rsid w:val="00AD3F94"/>
    <w:rsid w:val="00AD4926"/>
    <w:rsid w:val="00AD4A5A"/>
    <w:rsid w:val="00AD7CC1"/>
    <w:rsid w:val="00AE049D"/>
    <w:rsid w:val="00AE272B"/>
    <w:rsid w:val="00AE27AC"/>
    <w:rsid w:val="00AE32B1"/>
    <w:rsid w:val="00AE40E0"/>
    <w:rsid w:val="00AE4880"/>
    <w:rsid w:val="00AE4DBA"/>
    <w:rsid w:val="00AE4F07"/>
    <w:rsid w:val="00AE5ACB"/>
    <w:rsid w:val="00AE5D70"/>
    <w:rsid w:val="00AE668A"/>
    <w:rsid w:val="00AE70D5"/>
    <w:rsid w:val="00AF0520"/>
    <w:rsid w:val="00AF152C"/>
    <w:rsid w:val="00AF1BFC"/>
    <w:rsid w:val="00AF1C5D"/>
    <w:rsid w:val="00AF2394"/>
    <w:rsid w:val="00AF304A"/>
    <w:rsid w:val="00AF3BCF"/>
    <w:rsid w:val="00AF42D7"/>
    <w:rsid w:val="00AF5213"/>
    <w:rsid w:val="00AF5223"/>
    <w:rsid w:val="00AF55C8"/>
    <w:rsid w:val="00AF7405"/>
    <w:rsid w:val="00B006FE"/>
    <w:rsid w:val="00B00749"/>
    <w:rsid w:val="00B007CB"/>
    <w:rsid w:val="00B02AA9"/>
    <w:rsid w:val="00B02FA3"/>
    <w:rsid w:val="00B03EB1"/>
    <w:rsid w:val="00B05084"/>
    <w:rsid w:val="00B05D79"/>
    <w:rsid w:val="00B05F8C"/>
    <w:rsid w:val="00B07122"/>
    <w:rsid w:val="00B11ADF"/>
    <w:rsid w:val="00B11EC6"/>
    <w:rsid w:val="00B122FA"/>
    <w:rsid w:val="00B129FF"/>
    <w:rsid w:val="00B130A5"/>
    <w:rsid w:val="00B13BD5"/>
    <w:rsid w:val="00B15343"/>
    <w:rsid w:val="00B157F9"/>
    <w:rsid w:val="00B16640"/>
    <w:rsid w:val="00B16ACD"/>
    <w:rsid w:val="00B16D93"/>
    <w:rsid w:val="00B17F3C"/>
    <w:rsid w:val="00B200ED"/>
    <w:rsid w:val="00B20256"/>
    <w:rsid w:val="00B20D09"/>
    <w:rsid w:val="00B22F8E"/>
    <w:rsid w:val="00B23926"/>
    <w:rsid w:val="00B24E35"/>
    <w:rsid w:val="00B2582D"/>
    <w:rsid w:val="00B26856"/>
    <w:rsid w:val="00B27630"/>
    <w:rsid w:val="00B2763F"/>
    <w:rsid w:val="00B27890"/>
    <w:rsid w:val="00B27AAC"/>
    <w:rsid w:val="00B30223"/>
    <w:rsid w:val="00B30929"/>
    <w:rsid w:val="00B31A77"/>
    <w:rsid w:val="00B31E9E"/>
    <w:rsid w:val="00B32861"/>
    <w:rsid w:val="00B334E6"/>
    <w:rsid w:val="00B34E13"/>
    <w:rsid w:val="00B34E7D"/>
    <w:rsid w:val="00B35BAA"/>
    <w:rsid w:val="00B372AA"/>
    <w:rsid w:val="00B373A3"/>
    <w:rsid w:val="00B40445"/>
    <w:rsid w:val="00B409E0"/>
    <w:rsid w:val="00B41888"/>
    <w:rsid w:val="00B421E7"/>
    <w:rsid w:val="00B42BB7"/>
    <w:rsid w:val="00B444EC"/>
    <w:rsid w:val="00B44D0B"/>
    <w:rsid w:val="00B45A52"/>
    <w:rsid w:val="00B46175"/>
    <w:rsid w:val="00B46D98"/>
    <w:rsid w:val="00B479F8"/>
    <w:rsid w:val="00B523CC"/>
    <w:rsid w:val="00B5398B"/>
    <w:rsid w:val="00B54368"/>
    <w:rsid w:val="00B54613"/>
    <w:rsid w:val="00B548B7"/>
    <w:rsid w:val="00B5591C"/>
    <w:rsid w:val="00B5593C"/>
    <w:rsid w:val="00B5790B"/>
    <w:rsid w:val="00B6265E"/>
    <w:rsid w:val="00B62787"/>
    <w:rsid w:val="00B65B5E"/>
    <w:rsid w:val="00B65DA0"/>
    <w:rsid w:val="00B664C7"/>
    <w:rsid w:val="00B6676D"/>
    <w:rsid w:val="00B66A12"/>
    <w:rsid w:val="00B70679"/>
    <w:rsid w:val="00B70A10"/>
    <w:rsid w:val="00B713D8"/>
    <w:rsid w:val="00B71FA3"/>
    <w:rsid w:val="00B734A7"/>
    <w:rsid w:val="00B739F6"/>
    <w:rsid w:val="00B76D03"/>
    <w:rsid w:val="00B77602"/>
    <w:rsid w:val="00B77AEC"/>
    <w:rsid w:val="00B77D49"/>
    <w:rsid w:val="00B80BC0"/>
    <w:rsid w:val="00B80EB9"/>
    <w:rsid w:val="00B8194E"/>
    <w:rsid w:val="00B81A6C"/>
    <w:rsid w:val="00B821BB"/>
    <w:rsid w:val="00B827A3"/>
    <w:rsid w:val="00B82FAD"/>
    <w:rsid w:val="00B838C3"/>
    <w:rsid w:val="00B85DE5"/>
    <w:rsid w:val="00B860BA"/>
    <w:rsid w:val="00B8770A"/>
    <w:rsid w:val="00B90AC7"/>
    <w:rsid w:val="00B90EDE"/>
    <w:rsid w:val="00B90F73"/>
    <w:rsid w:val="00B91258"/>
    <w:rsid w:val="00B918B5"/>
    <w:rsid w:val="00B93414"/>
    <w:rsid w:val="00B93B59"/>
    <w:rsid w:val="00B93D0A"/>
    <w:rsid w:val="00B9406A"/>
    <w:rsid w:val="00B9414E"/>
    <w:rsid w:val="00B943FB"/>
    <w:rsid w:val="00B9568A"/>
    <w:rsid w:val="00B970C6"/>
    <w:rsid w:val="00BA0CD7"/>
    <w:rsid w:val="00BA0CFD"/>
    <w:rsid w:val="00BA2280"/>
    <w:rsid w:val="00BA2A08"/>
    <w:rsid w:val="00BA2FA8"/>
    <w:rsid w:val="00BA3776"/>
    <w:rsid w:val="00BA4AC8"/>
    <w:rsid w:val="00BA519F"/>
    <w:rsid w:val="00BA538E"/>
    <w:rsid w:val="00BA56D2"/>
    <w:rsid w:val="00BA5E14"/>
    <w:rsid w:val="00BA6106"/>
    <w:rsid w:val="00BA61BA"/>
    <w:rsid w:val="00BA6C1D"/>
    <w:rsid w:val="00BA6C23"/>
    <w:rsid w:val="00BA76E0"/>
    <w:rsid w:val="00BB06A1"/>
    <w:rsid w:val="00BB07CB"/>
    <w:rsid w:val="00BB2A25"/>
    <w:rsid w:val="00BB403E"/>
    <w:rsid w:val="00BB4D33"/>
    <w:rsid w:val="00BB51E9"/>
    <w:rsid w:val="00BB521C"/>
    <w:rsid w:val="00BB62E2"/>
    <w:rsid w:val="00BB7662"/>
    <w:rsid w:val="00BB780C"/>
    <w:rsid w:val="00BB7FA5"/>
    <w:rsid w:val="00BC0085"/>
    <w:rsid w:val="00BC07B2"/>
    <w:rsid w:val="00BC0FDC"/>
    <w:rsid w:val="00BC21DD"/>
    <w:rsid w:val="00BC3053"/>
    <w:rsid w:val="00BC41D9"/>
    <w:rsid w:val="00BC46CC"/>
    <w:rsid w:val="00BC4D2E"/>
    <w:rsid w:val="00BC50E0"/>
    <w:rsid w:val="00BC54E8"/>
    <w:rsid w:val="00BC61E3"/>
    <w:rsid w:val="00BC6B7B"/>
    <w:rsid w:val="00BC7507"/>
    <w:rsid w:val="00BD05BB"/>
    <w:rsid w:val="00BD21D6"/>
    <w:rsid w:val="00BD48AC"/>
    <w:rsid w:val="00BD5F1A"/>
    <w:rsid w:val="00BD673D"/>
    <w:rsid w:val="00BD7904"/>
    <w:rsid w:val="00BE0EA9"/>
    <w:rsid w:val="00BE1234"/>
    <w:rsid w:val="00BE125C"/>
    <w:rsid w:val="00BE2157"/>
    <w:rsid w:val="00BE2FA6"/>
    <w:rsid w:val="00BE333F"/>
    <w:rsid w:val="00BE4519"/>
    <w:rsid w:val="00BE4606"/>
    <w:rsid w:val="00BE46A7"/>
    <w:rsid w:val="00BE4E70"/>
    <w:rsid w:val="00BE661F"/>
    <w:rsid w:val="00BE6A54"/>
    <w:rsid w:val="00BE7406"/>
    <w:rsid w:val="00BE7603"/>
    <w:rsid w:val="00BF027F"/>
    <w:rsid w:val="00BF1B5D"/>
    <w:rsid w:val="00BF2987"/>
    <w:rsid w:val="00BF3279"/>
    <w:rsid w:val="00BF3885"/>
    <w:rsid w:val="00BF39B9"/>
    <w:rsid w:val="00BF3CF8"/>
    <w:rsid w:val="00BF466F"/>
    <w:rsid w:val="00BF544B"/>
    <w:rsid w:val="00BF5B60"/>
    <w:rsid w:val="00BF5C61"/>
    <w:rsid w:val="00BF618B"/>
    <w:rsid w:val="00BF74C7"/>
    <w:rsid w:val="00C015CA"/>
    <w:rsid w:val="00C015F1"/>
    <w:rsid w:val="00C01F33"/>
    <w:rsid w:val="00C02342"/>
    <w:rsid w:val="00C024D8"/>
    <w:rsid w:val="00C02CC6"/>
    <w:rsid w:val="00C03A85"/>
    <w:rsid w:val="00C040F7"/>
    <w:rsid w:val="00C044AB"/>
    <w:rsid w:val="00C0481E"/>
    <w:rsid w:val="00C05706"/>
    <w:rsid w:val="00C065C4"/>
    <w:rsid w:val="00C07377"/>
    <w:rsid w:val="00C0757C"/>
    <w:rsid w:val="00C07919"/>
    <w:rsid w:val="00C07A0C"/>
    <w:rsid w:val="00C07B7F"/>
    <w:rsid w:val="00C10478"/>
    <w:rsid w:val="00C108CF"/>
    <w:rsid w:val="00C10E04"/>
    <w:rsid w:val="00C11157"/>
    <w:rsid w:val="00C116FB"/>
    <w:rsid w:val="00C11C01"/>
    <w:rsid w:val="00C12107"/>
    <w:rsid w:val="00C133E9"/>
    <w:rsid w:val="00C13EBE"/>
    <w:rsid w:val="00C14AD2"/>
    <w:rsid w:val="00C14D4B"/>
    <w:rsid w:val="00C154BB"/>
    <w:rsid w:val="00C1583F"/>
    <w:rsid w:val="00C160FC"/>
    <w:rsid w:val="00C16C21"/>
    <w:rsid w:val="00C202CD"/>
    <w:rsid w:val="00C20B56"/>
    <w:rsid w:val="00C20CA3"/>
    <w:rsid w:val="00C20D48"/>
    <w:rsid w:val="00C2303E"/>
    <w:rsid w:val="00C2387C"/>
    <w:rsid w:val="00C23E12"/>
    <w:rsid w:val="00C23E51"/>
    <w:rsid w:val="00C24BEE"/>
    <w:rsid w:val="00C2538D"/>
    <w:rsid w:val="00C255BA"/>
    <w:rsid w:val="00C255BF"/>
    <w:rsid w:val="00C26A28"/>
    <w:rsid w:val="00C279B5"/>
    <w:rsid w:val="00C27C45"/>
    <w:rsid w:val="00C30418"/>
    <w:rsid w:val="00C31300"/>
    <w:rsid w:val="00C31851"/>
    <w:rsid w:val="00C33606"/>
    <w:rsid w:val="00C34581"/>
    <w:rsid w:val="00C34628"/>
    <w:rsid w:val="00C348EC"/>
    <w:rsid w:val="00C34D34"/>
    <w:rsid w:val="00C35D9A"/>
    <w:rsid w:val="00C36CE0"/>
    <w:rsid w:val="00C3719D"/>
    <w:rsid w:val="00C37B82"/>
    <w:rsid w:val="00C37CB2"/>
    <w:rsid w:val="00C40FDC"/>
    <w:rsid w:val="00C42101"/>
    <w:rsid w:val="00C43FEF"/>
    <w:rsid w:val="00C45571"/>
    <w:rsid w:val="00C473A5"/>
    <w:rsid w:val="00C50735"/>
    <w:rsid w:val="00C50C94"/>
    <w:rsid w:val="00C51530"/>
    <w:rsid w:val="00C5213E"/>
    <w:rsid w:val="00C52454"/>
    <w:rsid w:val="00C52BC7"/>
    <w:rsid w:val="00C5478B"/>
    <w:rsid w:val="00C54995"/>
    <w:rsid w:val="00C54D41"/>
    <w:rsid w:val="00C55176"/>
    <w:rsid w:val="00C55442"/>
    <w:rsid w:val="00C56EE3"/>
    <w:rsid w:val="00C577DA"/>
    <w:rsid w:val="00C60130"/>
    <w:rsid w:val="00C6074F"/>
    <w:rsid w:val="00C60783"/>
    <w:rsid w:val="00C6407A"/>
    <w:rsid w:val="00C64482"/>
    <w:rsid w:val="00C64672"/>
    <w:rsid w:val="00C64C78"/>
    <w:rsid w:val="00C67B7A"/>
    <w:rsid w:val="00C67C05"/>
    <w:rsid w:val="00C70271"/>
    <w:rsid w:val="00C70444"/>
    <w:rsid w:val="00C70697"/>
    <w:rsid w:val="00C7070E"/>
    <w:rsid w:val="00C70C05"/>
    <w:rsid w:val="00C72093"/>
    <w:rsid w:val="00C72EF4"/>
    <w:rsid w:val="00C74208"/>
    <w:rsid w:val="00C74256"/>
    <w:rsid w:val="00C744FE"/>
    <w:rsid w:val="00C74A87"/>
    <w:rsid w:val="00C759C7"/>
    <w:rsid w:val="00C759EF"/>
    <w:rsid w:val="00C75D2F"/>
    <w:rsid w:val="00C767BE"/>
    <w:rsid w:val="00C76E3C"/>
    <w:rsid w:val="00C774C5"/>
    <w:rsid w:val="00C7761F"/>
    <w:rsid w:val="00C80852"/>
    <w:rsid w:val="00C813F7"/>
    <w:rsid w:val="00C81568"/>
    <w:rsid w:val="00C83DC2"/>
    <w:rsid w:val="00C86A7D"/>
    <w:rsid w:val="00C86BF6"/>
    <w:rsid w:val="00C87126"/>
    <w:rsid w:val="00C878DB"/>
    <w:rsid w:val="00C9027A"/>
    <w:rsid w:val="00C9068E"/>
    <w:rsid w:val="00C910E4"/>
    <w:rsid w:val="00C9169E"/>
    <w:rsid w:val="00C91750"/>
    <w:rsid w:val="00C91831"/>
    <w:rsid w:val="00C91D25"/>
    <w:rsid w:val="00C928D8"/>
    <w:rsid w:val="00C93814"/>
    <w:rsid w:val="00C93C4B"/>
    <w:rsid w:val="00C944AB"/>
    <w:rsid w:val="00C94773"/>
    <w:rsid w:val="00C95004"/>
    <w:rsid w:val="00C95B40"/>
    <w:rsid w:val="00CA0BE7"/>
    <w:rsid w:val="00CA1ED8"/>
    <w:rsid w:val="00CA2278"/>
    <w:rsid w:val="00CA31ED"/>
    <w:rsid w:val="00CA5591"/>
    <w:rsid w:val="00CA6A5C"/>
    <w:rsid w:val="00CA6B03"/>
    <w:rsid w:val="00CB17B6"/>
    <w:rsid w:val="00CB1F63"/>
    <w:rsid w:val="00CB2CC6"/>
    <w:rsid w:val="00CB3797"/>
    <w:rsid w:val="00CB453D"/>
    <w:rsid w:val="00CB4799"/>
    <w:rsid w:val="00CB4844"/>
    <w:rsid w:val="00CB52F0"/>
    <w:rsid w:val="00CB54C3"/>
    <w:rsid w:val="00CB568B"/>
    <w:rsid w:val="00CB61C2"/>
    <w:rsid w:val="00CB66DB"/>
    <w:rsid w:val="00CB6F44"/>
    <w:rsid w:val="00CB7170"/>
    <w:rsid w:val="00CB7B9D"/>
    <w:rsid w:val="00CB7E20"/>
    <w:rsid w:val="00CC0181"/>
    <w:rsid w:val="00CC02F7"/>
    <w:rsid w:val="00CC040E"/>
    <w:rsid w:val="00CC111F"/>
    <w:rsid w:val="00CC2011"/>
    <w:rsid w:val="00CC264D"/>
    <w:rsid w:val="00CC283D"/>
    <w:rsid w:val="00CC3D2F"/>
    <w:rsid w:val="00CC3EA0"/>
    <w:rsid w:val="00CC3EE7"/>
    <w:rsid w:val="00CC63E8"/>
    <w:rsid w:val="00CC7228"/>
    <w:rsid w:val="00CC7B45"/>
    <w:rsid w:val="00CD1188"/>
    <w:rsid w:val="00CD21BD"/>
    <w:rsid w:val="00CD2ED1"/>
    <w:rsid w:val="00CD337B"/>
    <w:rsid w:val="00CD3454"/>
    <w:rsid w:val="00CD4E5C"/>
    <w:rsid w:val="00CD73D2"/>
    <w:rsid w:val="00CE0424"/>
    <w:rsid w:val="00CE5FB6"/>
    <w:rsid w:val="00CE6724"/>
    <w:rsid w:val="00CE711E"/>
    <w:rsid w:val="00CE7187"/>
    <w:rsid w:val="00CE7561"/>
    <w:rsid w:val="00CE77F1"/>
    <w:rsid w:val="00CE7E2B"/>
    <w:rsid w:val="00CF0776"/>
    <w:rsid w:val="00CF0F67"/>
    <w:rsid w:val="00CF1354"/>
    <w:rsid w:val="00CF2454"/>
    <w:rsid w:val="00CF2EE2"/>
    <w:rsid w:val="00CF2F21"/>
    <w:rsid w:val="00CF2F53"/>
    <w:rsid w:val="00CF31FC"/>
    <w:rsid w:val="00CF3B1F"/>
    <w:rsid w:val="00CF3BF6"/>
    <w:rsid w:val="00CF43BF"/>
    <w:rsid w:val="00CF4803"/>
    <w:rsid w:val="00CF6240"/>
    <w:rsid w:val="00CF625B"/>
    <w:rsid w:val="00CF687E"/>
    <w:rsid w:val="00CF6A4A"/>
    <w:rsid w:val="00CF6A83"/>
    <w:rsid w:val="00CF7B42"/>
    <w:rsid w:val="00CF7E4C"/>
    <w:rsid w:val="00D00282"/>
    <w:rsid w:val="00D006E9"/>
    <w:rsid w:val="00D01044"/>
    <w:rsid w:val="00D01ED5"/>
    <w:rsid w:val="00D032CA"/>
    <w:rsid w:val="00D0349B"/>
    <w:rsid w:val="00D04A9C"/>
    <w:rsid w:val="00D05351"/>
    <w:rsid w:val="00D06E75"/>
    <w:rsid w:val="00D10249"/>
    <w:rsid w:val="00D10C5E"/>
    <w:rsid w:val="00D10F31"/>
    <w:rsid w:val="00D115C3"/>
    <w:rsid w:val="00D11897"/>
    <w:rsid w:val="00D120A1"/>
    <w:rsid w:val="00D127CB"/>
    <w:rsid w:val="00D13135"/>
    <w:rsid w:val="00D132D9"/>
    <w:rsid w:val="00D139C5"/>
    <w:rsid w:val="00D13E4E"/>
    <w:rsid w:val="00D140D4"/>
    <w:rsid w:val="00D14EDE"/>
    <w:rsid w:val="00D15945"/>
    <w:rsid w:val="00D15C63"/>
    <w:rsid w:val="00D17E30"/>
    <w:rsid w:val="00D20B06"/>
    <w:rsid w:val="00D21C4D"/>
    <w:rsid w:val="00D21DC7"/>
    <w:rsid w:val="00D22244"/>
    <w:rsid w:val="00D239A7"/>
    <w:rsid w:val="00D23B3E"/>
    <w:rsid w:val="00D23F47"/>
    <w:rsid w:val="00D256F0"/>
    <w:rsid w:val="00D26044"/>
    <w:rsid w:val="00D26184"/>
    <w:rsid w:val="00D279EC"/>
    <w:rsid w:val="00D27D1E"/>
    <w:rsid w:val="00D327C8"/>
    <w:rsid w:val="00D344A2"/>
    <w:rsid w:val="00D36022"/>
    <w:rsid w:val="00D3628C"/>
    <w:rsid w:val="00D36E71"/>
    <w:rsid w:val="00D37A15"/>
    <w:rsid w:val="00D37D87"/>
    <w:rsid w:val="00D401FA"/>
    <w:rsid w:val="00D40B33"/>
    <w:rsid w:val="00D40C4C"/>
    <w:rsid w:val="00D41F1B"/>
    <w:rsid w:val="00D420FB"/>
    <w:rsid w:val="00D43045"/>
    <w:rsid w:val="00D4318F"/>
    <w:rsid w:val="00D438BF"/>
    <w:rsid w:val="00D43939"/>
    <w:rsid w:val="00D440F8"/>
    <w:rsid w:val="00D455C2"/>
    <w:rsid w:val="00D457C8"/>
    <w:rsid w:val="00D4646C"/>
    <w:rsid w:val="00D50D83"/>
    <w:rsid w:val="00D50E65"/>
    <w:rsid w:val="00D51847"/>
    <w:rsid w:val="00D52B0C"/>
    <w:rsid w:val="00D53317"/>
    <w:rsid w:val="00D53379"/>
    <w:rsid w:val="00D53722"/>
    <w:rsid w:val="00D53A0D"/>
    <w:rsid w:val="00D54312"/>
    <w:rsid w:val="00D546FF"/>
    <w:rsid w:val="00D550A5"/>
    <w:rsid w:val="00D55AD5"/>
    <w:rsid w:val="00D56D23"/>
    <w:rsid w:val="00D57223"/>
    <w:rsid w:val="00D576CA"/>
    <w:rsid w:val="00D611C0"/>
    <w:rsid w:val="00D61AF5"/>
    <w:rsid w:val="00D652B5"/>
    <w:rsid w:val="00D66155"/>
    <w:rsid w:val="00D66AD1"/>
    <w:rsid w:val="00D67453"/>
    <w:rsid w:val="00D7075D"/>
    <w:rsid w:val="00D708B0"/>
    <w:rsid w:val="00D7192E"/>
    <w:rsid w:val="00D71E5A"/>
    <w:rsid w:val="00D748D0"/>
    <w:rsid w:val="00D750E9"/>
    <w:rsid w:val="00D7630A"/>
    <w:rsid w:val="00D76CFA"/>
    <w:rsid w:val="00D77B1D"/>
    <w:rsid w:val="00D801F4"/>
    <w:rsid w:val="00D8021F"/>
    <w:rsid w:val="00D80383"/>
    <w:rsid w:val="00D80A17"/>
    <w:rsid w:val="00D82087"/>
    <w:rsid w:val="00D823C6"/>
    <w:rsid w:val="00D827F9"/>
    <w:rsid w:val="00D8327F"/>
    <w:rsid w:val="00D84003"/>
    <w:rsid w:val="00D8412F"/>
    <w:rsid w:val="00D842D8"/>
    <w:rsid w:val="00D8446B"/>
    <w:rsid w:val="00D85991"/>
    <w:rsid w:val="00D85A03"/>
    <w:rsid w:val="00D86AB6"/>
    <w:rsid w:val="00D86CA3"/>
    <w:rsid w:val="00D871CE"/>
    <w:rsid w:val="00D87322"/>
    <w:rsid w:val="00D873A6"/>
    <w:rsid w:val="00D875CE"/>
    <w:rsid w:val="00D879EA"/>
    <w:rsid w:val="00D917E7"/>
    <w:rsid w:val="00D9196D"/>
    <w:rsid w:val="00D92295"/>
    <w:rsid w:val="00D92982"/>
    <w:rsid w:val="00D966D1"/>
    <w:rsid w:val="00D96913"/>
    <w:rsid w:val="00D96BD1"/>
    <w:rsid w:val="00D97D62"/>
    <w:rsid w:val="00DA2814"/>
    <w:rsid w:val="00DA2893"/>
    <w:rsid w:val="00DA2D52"/>
    <w:rsid w:val="00DA305E"/>
    <w:rsid w:val="00DA3A03"/>
    <w:rsid w:val="00DA4676"/>
    <w:rsid w:val="00DA5417"/>
    <w:rsid w:val="00DA55C2"/>
    <w:rsid w:val="00DA56E8"/>
    <w:rsid w:val="00DA591B"/>
    <w:rsid w:val="00DA5CB0"/>
    <w:rsid w:val="00DA6A9C"/>
    <w:rsid w:val="00DA71EF"/>
    <w:rsid w:val="00DB0A9F"/>
    <w:rsid w:val="00DB0B61"/>
    <w:rsid w:val="00DB21CB"/>
    <w:rsid w:val="00DB23C7"/>
    <w:rsid w:val="00DB2FDC"/>
    <w:rsid w:val="00DB3059"/>
    <w:rsid w:val="00DB3478"/>
    <w:rsid w:val="00DB377D"/>
    <w:rsid w:val="00DB4A16"/>
    <w:rsid w:val="00DC03FA"/>
    <w:rsid w:val="00DC049A"/>
    <w:rsid w:val="00DC11FA"/>
    <w:rsid w:val="00DC2D36"/>
    <w:rsid w:val="00DC397B"/>
    <w:rsid w:val="00DC47EA"/>
    <w:rsid w:val="00DC53EF"/>
    <w:rsid w:val="00DC59F9"/>
    <w:rsid w:val="00DC7B7C"/>
    <w:rsid w:val="00DC7E4A"/>
    <w:rsid w:val="00DC7ED2"/>
    <w:rsid w:val="00DD2320"/>
    <w:rsid w:val="00DD2515"/>
    <w:rsid w:val="00DD350E"/>
    <w:rsid w:val="00DD3EA7"/>
    <w:rsid w:val="00DD4A61"/>
    <w:rsid w:val="00DD4EEE"/>
    <w:rsid w:val="00DD5A3D"/>
    <w:rsid w:val="00DD5A6A"/>
    <w:rsid w:val="00DD6673"/>
    <w:rsid w:val="00DD6E70"/>
    <w:rsid w:val="00DD7786"/>
    <w:rsid w:val="00DE08F9"/>
    <w:rsid w:val="00DE09C7"/>
    <w:rsid w:val="00DE16C3"/>
    <w:rsid w:val="00DE1F85"/>
    <w:rsid w:val="00DE2B7B"/>
    <w:rsid w:val="00DE31EA"/>
    <w:rsid w:val="00DE40A9"/>
    <w:rsid w:val="00DE48F8"/>
    <w:rsid w:val="00DE5608"/>
    <w:rsid w:val="00DE58D0"/>
    <w:rsid w:val="00DE5DF6"/>
    <w:rsid w:val="00DE6111"/>
    <w:rsid w:val="00DE654F"/>
    <w:rsid w:val="00DE755A"/>
    <w:rsid w:val="00DE7A67"/>
    <w:rsid w:val="00DF0B6E"/>
    <w:rsid w:val="00DF0B9D"/>
    <w:rsid w:val="00DF15E0"/>
    <w:rsid w:val="00DF37A0"/>
    <w:rsid w:val="00DF3868"/>
    <w:rsid w:val="00DF46E9"/>
    <w:rsid w:val="00DF56FA"/>
    <w:rsid w:val="00DF6295"/>
    <w:rsid w:val="00DF6542"/>
    <w:rsid w:val="00DF696E"/>
    <w:rsid w:val="00DF6A4E"/>
    <w:rsid w:val="00DF6FDE"/>
    <w:rsid w:val="00DF79A3"/>
    <w:rsid w:val="00E001A2"/>
    <w:rsid w:val="00E009ED"/>
    <w:rsid w:val="00E02DCD"/>
    <w:rsid w:val="00E06807"/>
    <w:rsid w:val="00E075B6"/>
    <w:rsid w:val="00E100EB"/>
    <w:rsid w:val="00E10B2D"/>
    <w:rsid w:val="00E110E7"/>
    <w:rsid w:val="00E11B20"/>
    <w:rsid w:val="00E123DB"/>
    <w:rsid w:val="00E13B57"/>
    <w:rsid w:val="00E14BFB"/>
    <w:rsid w:val="00E15088"/>
    <w:rsid w:val="00E15C9F"/>
    <w:rsid w:val="00E1629E"/>
    <w:rsid w:val="00E16F11"/>
    <w:rsid w:val="00E17ACA"/>
    <w:rsid w:val="00E17FA2"/>
    <w:rsid w:val="00E205E6"/>
    <w:rsid w:val="00E21A04"/>
    <w:rsid w:val="00E22330"/>
    <w:rsid w:val="00E245DF"/>
    <w:rsid w:val="00E24C9A"/>
    <w:rsid w:val="00E2513D"/>
    <w:rsid w:val="00E2654F"/>
    <w:rsid w:val="00E271A9"/>
    <w:rsid w:val="00E27339"/>
    <w:rsid w:val="00E27795"/>
    <w:rsid w:val="00E2779F"/>
    <w:rsid w:val="00E3061E"/>
    <w:rsid w:val="00E30A2E"/>
    <w:rsid w:val="00E30B5A"/>
    <w:rsid w:val="00E31029"/>
    <w:rsid w:val="00E3123D"/>
    <w:rsid w:val="00E31461"/>
    <w:rsid w:val="00E31998"/>
    <w:rsid w:val="00E31D43"/>
    <w:rsid w:val="00E3251F"/>
    <w:rsid w:val="00E32608"/>
    <w:rsid w:val="00E33353"/>
    <w:rsid w:val="00E335F1"/>
    <w:rsid w:val="00E34188"/>
    <w:rsid w:val="00E34B6E"/>
    <w:rsid w:val="00E35559"/>
    <w:rsid w:val="00E3723A"/>
    <w:rsid w:val="00E37860"/>
    <w:rsid w:val="00E40095"/>
    <w:rsid w:val="00E404BD"/>
    <w:rsid w:val="00E409BB"/>
    <w:rsid w:val="00E41685"/>
    <w:rsid w:val="00E41AA7"/>
    <w:rsid w:val="00E4353E"/>
    <w:rsid w:val="00E43719"/>
    <w:rsid w:val="00E444D2"/>
    <w:rsid w:val="00E446F1"/>
    <w:rsid w:val="00E4500C"/>
    <w:rsid w:val="00E46886"/>
    <w:rsid w:val="00E47AEF"/>
    <w:rsid w:val="00E50715"/>
    <w:rsid w:val="00E5104C"/>
    <w:rsid w:val="00E5142D"/>
    <w:rsid w:val="00E517C0"/>
    <w:rsid w:val="00E51A76"/>
    <w:rsid w:val="00E51B21"/>
    <w:rsid w:val="00E53B75"/>
    <w:rsid w:val="00E5421F"/>
    <w:rsid w:val="00E5435F"/>
    <w:rsid w:val="00E5493D"/>
    <w:rsid w:val="00E54E3B"/>
    <w:rsid w:val="00E57565"/>
    <w:rsid w:val="00E606DE"/>
    <w:rsid w:val="00E614B9"/>
    <w:rsid w:val="00E6351D"/>
    <w:rsid w:val="00E63838"/>
    <w:rsid w:val="00E63DAF"/>
    <w:rsid w:val="00E64434"/>
    <w:rsid w:val="00E651FB"/>
    <w:rsid w:val="00E6648C"/>
    <w:rsid w:val="00E67C51"/>
    <w:rsid w:val="00E70F4B"/>
    <w:rsid w:val="00E71C1E"/>
    <w:rsid w:val="00E71D95"/>
    <w:rsid w:val="00E72E7F"/>
    <w:rsid w:val="00E72EFC"/>
    <w:rsid w:val="00E749F8"/>
    <w:rsid w:val="00E758EC"/>
    <w:rsid w:val="00E75BA1"/>
    <w:rsid w:val="00E76AA4"/>
    <w:rsid w:val="00E773DA"/>
    <w:rsid w:val="00E77F0A"/>
    <w:rsid w:val="00E80802"/>
    <w:rsid w:val="00E80830"/>
    <w:rsid w:val="00E80AB7"/>
    <w:rsid w:val="00E812CC"/>
    <w:rsid w:val="00E8173E"/>
    <w:rsid w:val="00E822A4"/>
    <w:rsid w:val="00E8234C"/>
    <w:rsid w:val="00E83196"/>
    <w:rsid w:val="00E8375F"/>
    <w:rsid w:val="00E83AA9"/>
    <w:rsid w:val="00E84A98"/>
    <w:rsid w:val="00E84D12"/>
    <w:rsid w:val="00E85928"/>
    <w:rsid w:val="00E85C73"/>
    <w:rsid w:val="00E86262"/>
    <w:rsid w:val="00E8674E"/>
    <w:rsid w:val="00E86A38"/>
    <w:rsid w:val="00E86CB3"/>
    <w:rsid w:val="00E87822"/>
    <w:rsid w:val="00E90395"/>
    <w:rsid w:val="00E90E49"/>
    <w:rsid w:val="00E917F9"/>
    <w:rsid w:val="00E9182A"/>
    <w:rsid w:val="00E9291C"/>
    <w:rsid w:val="00E93562"/>
    <w:rsid w:val="00E93FFE"/>
    <w:rsid w:val="00E9437C"/>
    <w:rsid w:val="00E94559"/>
    <w:rsid w:val="00E94F8A"/>
    <w:rsid w:val="00E95403"/>
    <w:rsid w:val="00E97D0F"/>
    <w:rsid w:val="00EA0347"/>
    <w:rsid w:val="00EA0422"/>
    <w:rsid w:val="00EA042F"/>
    <w:rsid w:val="00EA0B6C"/>
    <w:rsid w:val="00EA161C"/>
    <w:rsid w:val="00EA1635"/>
    <w:rsid w:val="00EA2523"/>
    <w:rsid w:val="00EA5449"/>
    <w:rsid w:val="00EA55CC"/>
    <w:rsid w:val="00EA7373"/>
    <w:rsid w:val="00EA7A41"/>
    <w:rsid w:val="00EB06A0"/>
    <w:rsid w:val="00EB077B"/>
    <w:rsid w:val="00EB0EEA"/>
    <w:rsid w:val="00EB1035"/>
    <w:rsid w:val="00EB15BE"/>
    <w:rsid w:val="00EB1B53"/>
    <w:rsid w:val="00EB2E2F"/>
    <w:rsid w:val="00EB379D"/>
    <w:rsid w:val="00EB4EA2"/>
    <w:rsid w:val="00EB59DF"/>
    <w:rsid w:val="00EC0017"/>
    <w:rsid w:val="00EC0A8D"/>
    <w:rsid w:val="00EC0AC0"/>
    <w:rsid w:val="00EC1D03"/>
    <w:rsid w:val="00EC24D5"/>
    <w:rsid w:val="00EC27C6"/>
    <w:rsid w:val="00EC28B6"/>
    <w:rsid w:val="00EC3A76"/>
    <w:rsid w:val="00EC3DE2"/>
    <w:rsid w:val="00EC4207"/>
    <w:rsid w:val="00EC4707"/>
    <w:rsid w:val="00EC4780"/>
    <w:rsid w:val="00EC4CED"/>
    <w:rsid w:val="00EC4E8D"/>
    <w:rsid w:val="00EC5653"/>
    <w:rsid w:val="00EC5AC3"/>
    <w:rsid w:val="00EC620E"/>
    <w:rsid w:val="00EC6E73"/>
    <w:rsid w:val="00EC71CE"/>
    <w:rsid w:val="00ED1006"/>
    <w:rsid w:val="00ED1391"/>
    <w:rsid w:val="00ED29C6"/>
    <w:rsid w:val="00ED3244"/>
    <w:rsid w:val="00ED53B0"/>
    <w:rsid w:val="00ED568E"/>
    <w:rsid w:val="00ED71AF"/>
    <w:rsid w:val="00ED74DD"/>
    <w:rsid w:val="00ED753C"/>
    <w:rsid w:val="00ED79F5"/>
    <w:rsid w:val="00ED7A0D"/>
    <w:rsid w:val="00EE01CC"/>
    <w:rsid w:val="00EE0A55"/>
    <w:rsid w:val="00EE0B78"/>
    <w:rsid w:val="00EE13E3"/>
    <w:rsid w:val="00EE1722"/>
    <w:rsid w:val="00EE193F"/>
    <w:rsid w:val="00EE2B03"/>
    <w:rsid w:val="00EE35F2"/>
    <w:rsid w:val="00EE480F"/>
    <w:rsid w:val="00EE5C59"/>
    <w:rsid w:val="00EE65D8"/>
    <w:rsid w:val="00EE7530"/>
    <w:rsid w:val="00EF18A4"/>
    <w:rsid w:val="00EF18FE"/>
    <w:rsid w:val="00EF1DEB"/>
    <w:rsid w:val="00EF468E"/>
    <w:rsid w:val="00EF47BD"/>
    <w:rsid w:val="00EF4CB9"/>
    <w:rsid w:val="00EF559A"/>
    <w:rsid w:val="00EF5787"/>
    <w:rsid w:val="00EF60D0"/>
    <w:rsid w:val="00EF72FD"/>
    <w:rsid w:val="00F000DF"/>
    <w:rsid w:val="00F005B0"/>
    <w:rsid w:val="00F00842"/>
    <w:rsid w:val="00F01113"/>
    <w:rsid w:val="00F03BB7"/>
    <w:rsid w:val="00F0440C"/>
    <w:rsid w:val="00F0528D"/>
    <w:rsid w:val="00F053A0"/>
    <w:rsid w:val="00F068F2"/>
    <w:rsid w:val="00F06C67"/>
    <w:rsid w:val="00F06C9F"/>
    <w:rsid w:val="00F06DFD"/>
    <w:rsid w:val="00F071D1"/>
    <w:rsid w:val="00F07533"/>
    <w:rsid w:val="00F07F46"/>
    <w:rsid w:val="00F10136"/>
    <w:rsid w:val="00F10629"/>
    <w:rsid w:val="00F10AD7"/>
    <w:rsid w:val="00F10EB9"/>
    <w:rsid w:val="00F1169E"/>
    <w:rsid w:val="00F11C2F"/>
    <w:rsid w:val="00F13958"/>
    <w:rsid w:val="00F15FA5"/>
    <w:rsid w:val="00F16437"/>
    <w:rsid w:val="00F16C98"/>
    <w:rsid w:val="00F16D75"/>
    <w:rsid w:val="00F1714F"/>
    <w:rsid w:val="00F1761B"/>
    <w:rsid w:val="00F17FF4"/>
    <w:rsid w:val="00F200BC"/>
    <w:rsid w:val="00F201E9"/>
    <w:rsid w:val="00F209B7"/>
    <w:rsid w:val="00F22014"/>
    <w:rsid w:val="00F2281E"/>
    <w:rsid w:val="00F22DFA"/>
    <w:rsid w:val="00F2376F"/>
    <w:rsid w:val="00F23F83"/>
    <w:rsid w:val="00F243D8"/>
    <w:rsid w:val="00F24AB7"/>
    <w:rsid w:val="00F251EA"/>
    <w:rsid w:val="00F25601"/>
    <w:rsid w:val="00F25814"/>
    <w:rsid w:val="00F26028"/>
    <w:rsid w:val="00F26807"/>
    <w:rsid w:val="00F26AB2"/>
    <w:rsid w:val="00F2746B"/>
    <w:rsid w:val="00F30511"/>
    <w:rsid w:val="00F30828"/>
    <w:rsid w:val="00F30F2F"/>
    <w:rsid w:val="00F30FE5"/>
    <w:rsid w:val="00F31242"/>
    <w:rsid w:val="00F313D6"/>
    <w:rsid w:val="00F3149B"/>
    <w:rsid w:val="00F314F5"/>
    <w:rsid w:val="00F31516"/>
    <w:rsid w:val="00F3240A"/>
    <w:rsid w:val="00F3504B"/>
    <w:rsid w:val="00F35E2E"/>
    <w:rsid w:val="00F364B7"/>
    <w:rsid w:val="00F3695D"/>
    <w:rsid w:val="00F3795C"/>
    <w:rsid w:val="00F409E9"/>
    <w:rsid w:val="00F40EAD"/>
    <w:rsid w:val="00F40F0C"/>
    <w:rsid w:val="00F4200F"/>
    <w:rsid w:val="00F42ADC"/>
    <w:rsid w:val="00F44672"/>
    <w:rsid w:val="00F44DA8"/>
    <w:rsid w:val="00F44E77"/>
    <w:rsid w:val="00F44F29"/>
    <w:rsid w:val="00F44F42"/>
    <w:rsid w:val="00F45A42"/>
    <w:rsid w:val="00F46CF3"/>
    <w:rsid w:val="00F4766C"/>
    <w:rsid w:val="00F47B96"/>
    <w:rsid w:val="00F5060E"/>
    <w:rsid w:val="00F507D1"/>
    <w:rsid w:val="00F5171F"/>
    <w:rsid w:val="00F519CE"/>
    <w:rsid w:val="00F51ADA"/>
    <w:rsid w:val="00F52000"/>
    <w:rsid w:val="00F5223C"/>
    <w:rsid w:val="00F52382"/>
    <w:rsid w:val="00F5366E"/>
    <w:rsid w:val="00F5369B"/>
    <w:rsid w:val="00F54137"/>
    <w:rsid w:val="00F541D7"/>
    <w:rsid w:val="00F54B9D"/>
    <w:rsid w:val="00F552B3"/>
    <w:rsid w:val="00F573B6"/>
    <w:rsid w:val="00F60203"/>
    <w:rsid w:val="00F6034B"/>
    <w:rsid w:val="00F607C5"/>
    <w:rsid w:val="00F60DEA"/>
    <w:rsid w:val="00F61A11"/>
    <w:rsid w:val="00F62C65"/>
    <w:rsid w:val="00F62E9C"/>
    <w:rsid w:val="00F6302A"/>
    <w:rsid w:val="00F63950"/>
    <w:rsid w:val="00F63CFD"/>
    <w:rsid w:val="00F647D5"/>
    <w:rsid w:val="00F64C2B"/>
    <w:rsid w:val="00F64E3D"/>
    <w:rsid w:val="00F65089"/>
    <w:rsid w:val="00F65140"/>
    <w:rsid w:val="00F651BE"/>
    <w:rsid w:val="00F66315"/>
    <w:rsid w:val="00F664AD"/>
    <w:rsid w:val="00F665AC"/>
    <w:rsid w:val="00F66A4B"/>
    <w:rsid w:val="00F67F53"/>
    <w:rsid w:val="00F703BE"/>
    <w:rsid w:val="00F70795"/>
    <w:rsid w:val="00F71ACF"/>
    <w:rsid w:val="00F71B74"/>
    <w:rsid w:val="00F71F69"/>
    <w:rsid w:val="00F72B72"/>
    <w:rsid w:val="00F72F89"/>
    <w:rsid w:val="00F73E16"/>
    <w:rsid w:val="00F73E18"/>
    <w:rsid w:val="00F74534"/>
    <w:rsid w:val="00F74BB9"/>
    <w:rsid w:val="00F75282"/>
    <w:rsid w:val="00F75582"/>
    <w:rsid w:val="00F766D6"/>
    <w:rsid w:val="00F76CF7"/>
    <w:rsid w:val="00F76EFA"/>
    <w:rsid w:val="00F77776"/>
    <w:rsid w:val="00F804BE"/>
    <w:rsid w:val="00F812F0"/>
    <w:rsid w:val="00F817CE"/>
    <w:rsid w:val="00F81A5F"/>
    <w:rsid w:val="00F81DDE"/>
    <w:rsid w:val="00F82F85"/>
    <w:rsid w:val="00F8456C"/>
    <w:rsid w:val="00F859D8"/>
    <w:rsid w:val="00F868F5"/>
    <w:rsid w:val="00F9056A"/>
    <w:rsid w:val="00F90A0C"/>
    <w:rsid w:val="00F90CF1"/>
    <w:rsid w:val="00F90F8D"/>
    <w:rsid w:val="00F9146D"/>
    <w:rsid w:val="00F92769"/>
    <w:rsid w:val="00F92782"/>
    <w:rsid w:val="00F93512"/>
    <w:rsid w:val="00F93A97"/>
    <w:rsid w:val="00F93AA9"/>
    <w:rsid w:val="00F948DC"/>
    <w:rsid w:val="00F94D9C"/>
    <w:rsid w:val="00F95FDD"/>
    <w:rsid w:val="00F965DD"/>
    <w:rsid w:val="00F96985"/>
    <w:rsid w:val="00F97838"/>
    <w:rsid w:val="00FA0052"/>
    <w:rsid w:val="00FA047F"/>
    <w:rsid w:val="00FA1D87"/>
    <w:rsid w:val="00FA270B"/>
    <w:rsid w:val="00FA2BB3"/>
    <w:rsid w:val="00FA4AEF"/>
    <w:rsid w:val="00FA690D"/>
    <w:rsid w:val="00FB1499"/>
    <w:rsid w:val="00FB1F2C"/>
    <w:rsid w:val="00FB3646"/>
    <w:rsid w:val="00FB402A"/>
    <w:rsid w:val="00FB4107"/>
    <w:rsid w:val="00FB4C80"/>
    <w:rsid w:val="00FB6A6A"/>
    <w:rsid w:val="00FC0232"/>
    <w:rsid w:val="00FC07A0"/>
    <w:rsid w:val="00FC169C"/>
    <w:rsid w:val="00FC3707"/>
    <w:rsid w:val="00FC4723"/>
    <w:rsid w:val="00FC7429"/>
    <w:rsid w:val="00FC7485"/>
    <w:rsid w:val="00FD07F6"/>
    <w:rsid w:val="00FD09C4"/>
    <w:rsid w:val="00FD1EC8"/>
    <w:rsid w:val="00FD38E5"/>
    <w:rsid w:val="00FD3F89"/>
    <w:rsid w:val="00FD47ED"/>
    <w:rsid w:val="00FD4C33"/>
    <w:rsid w:val="00FD5782"/>
    <w:rsid w:val="00FD5C99"/>
    <w:rsid w:val="00FD6673"/>
    <w:rsid w:val="00FD6AA1"/>
    <w:rsid w:val="00FD7388"/>
    <w:rsid w:val="00FD74DB"/>
    <w:rsid w:val="00FD7660"/>
    <w:rsid w:val="00FE0655"/>
    <w:rsid w:val="00FE0A48"/>
    <w:rsid w:val="00FE1840"/>
    <w:rsid w:val="00FE1CE5"/>
    <w:rsid w:val="00FE2327"/>
    <w:rsid w:val="00FE2365"/>
    <w:rsid w:val="00FE37D7"/>
    <w:rsid w:val="00FE3A66"/>
    <w:rsid w:val="00FE4542"/>
    <w:rsid w:val="00FE4C7B"/>
    <w:rsid w:val="00FE4FA3"/>
    <w:rsid w:val="00FE5012"/>
    <w:rsid w:val="00FE52C5"/>
    <w:rsid w:val="00FE618A"/>
    <w:rsid w:val="00FE6F2A"/>
    <w:rsid w:val="00FE72B5"/>
    <w:rsid w:val="00FE7336"/>
    <w:rsid w:val="00FE787C"/>
    <w:rsid w:val="00FF0B56"/>
    <w:rsid w:val="00FF0D37"/>
    <w:rsid w:val="00FF0F33"/>
    <w:rsid w:val="00FF18D8"/>
    <w:rsid w:val="00FF3887"/>
    <w:rsid w:val="00FF3EDC"/>
    <w:rsid w:val="00FF45A5"/>
    <w:rsid w:val="00FF4680"/>
    <w:rsid w:val="00FF5518"/>
    <w:rsid w:val="00FF5C91"/>
    <w:rsid w:val="00FF6A21"/>
    <w:rsid w:val="00FF6CC8"/>
    <w:rsid w:val="00FF7875"/>
    <w:rsid w:val="00FF7C3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61446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C360F"/>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ind w:left="1440" w:hanging="1440"/>
      <w:outlineLvl w:val="7"/>
    </w:pPr>
  </w:style>
  <w:style w:type="paragraph" w:styleId="Heading9">
    <w:name w:val="heading 9"/>
    <w:basedOn w:val="Heading8"/>
    <w:next w:val="Normal"/>
    <w:link w:val="Heading9Char"/>
    <w:qFormat/>
    <w:rsid w:val="008D00A5"/>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B5CA1"/>
    <w:pPr>
      <w:numPr>
        <w:numId w:val="2"/>
      </w:numPr>
      <w:tabs>
        <w:tab w:val="left" w:pos="1701"/>
      </w:tabs>
      <w:spacing w:after="160"/>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IvDbodytextChar">
    <w:name w:val="IvD bodytext Char"/>
    <w:basedOn w:val="DefaultParagraphFont"/>
    <w:link w:val="IvDbodytext"/>
    <w:locked/>
    <w:rsid w:val="009A6063"/>
    <w:rPr>
      <w:rFonts w:ascii="Arial" w:eastAsiaTheme="minorEastAsia" w:hAnsi="Arial" w:cs="Arial"/>
      <w:spacing w:val="2"/>
      <w:sz w:val="22"/>
      <w:szCs w:val="22"/>
    </w:rPr>
  </w:style>
  <w:style w:type="paragraph" w:customStyle="1" w:styleId="IvDbodytext">
    <w:name w:val="IvD bodytext"/>
    <w:basedOn w:val="BodyText"/>
    <w:link w:val="IvDbodytextChar"/>
    <w:qFormat/>
    <w:rsid w:val="009A6063"/>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cs="Arial"/>
      <w:spacing w:val="2"/>
      <w:sz w:val="22"/>
      <w:lang w:val="en-GB" w:eastAsia="en-GB"/>
    </w:rPr>
  </w:style>
  <w:style w:type="character" w:styleId="UnresolvedMention">
    <w:name w:val="Unresolved Mention"/>
    <w:basedOn w:val="DefaultParagraphFont"/>
    <w:uiPriority w:val="99"/>
    <w:unhideWhenUsed/>
    <w:rsid w:val="00371B09"/>
    <w:rPr>
      <w:color w:val="605E5C"/>
      <w:shd w:val="clear" w:color="auto" w:fill="E1DFDD"/>
    </w:rPr>
  </w:style>
  <w:style w:type="character" w:styleId="Mention">
    <w:name w:val="Mention"/>
    <w:basedOn w:val="DefaultParagraphFont"/>
    <w:uiPriority w:val="99"/>
    <w:unhideWhenUsed/>
    <w:rsid w:val="00371B09"/>
    <w:rPr>
      <w:color w:val="2B579A"/>
      <w:shd w:val="clear" w:color="auto" w:fill="E1DFDD"/>
    </w:rPr>
  </w:style>
  <w:style w:type="character" w:customStyle="1" w:styleId="ReferenceChar">
    <w:name w:val="Reference Char"/>
    <w:link w:val="Reference"/>
    <w:rsid w:val="003A371B"/>
    <w:rPr>
      <w:rFonts w:ascii="Arial" w:eastAsiaTheme="minorHAnsi" w:hAnsi="Arial" w:cstheme="minorBidi"/>
      <w:szCs w:val="22"/>
      <w:lang w:val="en-US" w:eastAsia="zh-CN"/>
    </w:rPr>
  </w:style>
  <w:style w:type="character" w:styleId="PlaceholderText">
    <w:name w:val="Placeholder Text"/>
    <w:uiPriority w:val="99"/>
    <w:semiHidden/>
    <w:rsid w:val="00030DAA"/>
    <w:rPr>
      <w:color w:val="808080"/>
    </w:rPr>
  </w:style>
  <w:style w:type="character" w:customStyle="1" w:styleId="TALChar">
    <w:name w:val="TAL Char"/>
    <w:qFormat/>
    <w:rsid w:val="00A3591A"/>
    <w:rPr>
      <w:rFonts w:ascii="Arial" w:eastAsia="Times New Roman" w:hAnsi="Arial"/>
      <w:sz w:val="18"/>
    </w:rPr>
  </w:style>
  <w:style w:type="character" w:customStyle="1" w:styleId="TACChar">
    <w:name w:val="TAC Char"/>
    <w:link w:val="TAC"/>
    <w:qFormat/>
    <w:locked/>
    <w:rsid w:val="00A3591A"/>
    <w:rPr>
      <w:rFonts w:ascii="Arial" w:eastAsiaTheme="minorHAnsi" w:hAnsi="Arial" w:cstheme="minorBidi"/>
      <w:sz w:val="18"/>
      <w:szCs w:val="22"/>
      <w:lang w:val="x-none" w:eastAsia="x-none"/>
    </w:rPr>
  </w:style>
  <w:style w:type="paragraph" w:styleId="Revision">
    <w:name w:val="Revision"/>
    <w:hidden/>
    <w:uiPriority w:val="99"/>
    <w:semiHidden/>
    <w:rsid w:val="00A438B4"/>
    <w:rPr>
      <w:rFonts w:ascii="Arial" w:eastAsiaTheme="minorHAnsi" w:hAnsi="Arial" w:cstheme="minorBidi"/>
      <w:szCs w:val="22"/>
      <w:lang w:val="en-US" w:eastAsia="en-US"/>
    </w:rPr>
  </w:style>
  <w:style w:type="character" w:customStyle="1" w:styleId="emoticon-hidden-text">
    <w:name w:val="emoticon-hidden-text"/>
    <w:basedOn w:val="DefaultParagraphFont"/>
    <w:rsid w:val="0020538D"/>
  </w:style>
  <w:style w:type="character" w:customStyle="1" w:styleId="apple-converted-space">
    <w:name w:val="apple-converted-space"/>
    <w:qFormat/>
    <w:rsid w:val="00BC21DD"/>
  </w:style>
  <w:style w:type="character" w:customStyle="1" w:styleId="B1Zchn">
    <w:name w:val="B1 Zchn"/>
    <w:qFormat/>
    <w:rsid w:val="000772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888719">
      <w:bodyDiv w:val="1"/>
      <w:marLeft w:val="0"/>
      <w:marRight w:val="0"/>
      <w:marTop w:val="0"/>
      <w:marBottom w:val="0"/>
      <w:divBdr>
        <w:top w:val="none" w:sz="0" w:space="0" w:color="auto"/>
        <w:left w:val="none" w:sz="0" w:space="0" w:color="auto"/>
        <w:bottom w:val="none" w:sz="0" w:space="0" w:color="auto"/>
        <w:right w:val="none" w:sz="0" w:space="0" w:color="auto"/>
      </w:divBdr>
    </w:div>
    <w:div w:id="443161505">
      <w:bodyDiv w:val="1"/>
      <w:marLeft w:val="0"/>
      <w:marRight w:val="0"/>
      <w:marTop w:val="0"/>
      <w:marBottom w:val="0"/>
      <w:divBdr>
        <w:top w:val="none" w:sz="0" w:space="0" w:color="auto"/>
        <w:left w:val="none" w:sz="0" w:space="0" w:color="auto"/>
        <w:bottom w:val="none" w:sz="0" w:space="0" w:color="auto"/>
        <w:right w:val="none" w:sz="0" w:space="0" w:color="auto"/>
      </w:divBdr>
      <w:divsChild>
        <w:div w:id="64188612">
          <w:marLeft w:val="547"/>
          <w:marRight w:val="0"/>
          <w:marTop w:val="0"/>
          <w:marBottom w:val="0"/>
          <w:divBdr>
            <w:top w:val="none" w:sz="0" w:space="0" w:color="auto"/>
            <w:left w:val="none" w:sz="0" w:space="0" w:color="auto"/>
            <w:bottom w:val="none" w:sz="0" w:space="0" w:color="auto"/>
            <w:right w:val="none" w:sz="0" w:space="0" w:color="auto"/>
          </w:divBdr>
        </w:div>
        <w:div w:id="1062673980">
          <w:marLeft w:val="547"/>
          <w:marRight w:val="0"/>
          <w:marTop w:val="0"/>
          <w:marBottom w:val="0"/>
          <w:divBdr>
            <w:top w:val="none" w:sz="0" w:space="0" w:color="auto"/>
            <w:left w:val="none" w:sz="0" w:space="0" w:color="auto"/>
            <w:bottom w:val="none" w:sz="0" w:space="0" w:color="auto"/>
            <w:right w:val="none" w:sz="0" w:space="0" w:color="auto"/>
          </w:divBdr>
        </w:div>
        <w:div w:id="1073040196">
          <w:marLeft w:val="547"/>
          <w:marRight w:val="0"/>
          <w:marTop w:val="0"/>
          <w:marBottom w:val="0"/>
          <w:divBdr>
            <w:top w:val="none" w:sz="0" w:space="0" w:color="auto"/>
            <w:left w:val="none" w:sz="0" w:space="0" w:color="auto"/>
            <w:bottom w:val="none" w:sz="0" w:space="0" w:color="auto"/>
            <w:right w:val="none" w:sz="0" w:space="0" w:color="auto"/>
          </w:divBdr>
        </w:div>
        <w:div w:id="1176919695">
          <w:marLeft w:val="547"/>
          <w:marRight w:val="0"/>
          <w:marTop w:val="0"/>
          <w:marBottom w:val="0"/>
          <w:divBdr>
            <w:top w:val="none" w:sz="0" w:space="0" w:color="auto"/>
            <w:left w:val="none" w:sz="0" w:space="0" w:color="auto"/>
            <w:bottom w:val="none" w:sz="0" w:space="0" w:color="auto"/>
            <w:right w:val="none" w:sz="0" w:space="0" w:color="auto"/>
          </w:divBdr>
        </w:div>
        <w:div w:id="1802111897">
          <w:marLeft w:val="547"/>
          <w:marRight w:val="0"/>
          <w:marTop w:val="0"/>
          <w:marBottom w:val="0"/>
          <w:divBdr>
            <w:top w:val="none" w:sz="0" w:space="0" w:color="auto"/>
            <w:left w:val="none" w:sz="0" w:space="0" w:color="auto"/>
            <w:bottom w:val="none" w:sz="0" w:space="0" w:color="auto"/>
            <w:right w:val="none" w:sz="0" w:space="0" w:color="auto"/>
          </w:divBdr>
        </w:div>
      </w:divsChild>
    </w:div>
    <w:div w:id="551769573">
      <w:bodyDiv w:val="1"/>
      <w:marLeft w:val="0"/>
      <w:marRight w:val="0"/>
      <w:marTop w:val="0"/>
      <w:marBottom w:val="0"/>
      <w:divBdr>
        <w:top w:val="none" w:sz="0" w:space="0" w:color="auto"/>
        <w:left w:val="none" w:sz="0" w:space="0" w:color="auto"/>
        <w:bottom w:val="none" w:sz="0" w:space="0" w:color="auto"/>
        <w:right w:val="none" w:sz="0" w:space="0" w:color="auto"/>
      </w:divBdr>
    </w:div>
    <w:div w:id="552280509">
      <w:bodyDiv w:val="1"/>
      <w:marLeft w:val="0"/>
      <w:marRight w:val="0"/>
      <w:marTop w:val="0"/>
      <w:marBottom w:val="0"/>
      <w:divBdr>
        <w:top w:val="none" w:sz="0" w:space="0" w:color="auto"/>
        <w:left w:val="none" w:sz="0" w:space="0" w:color="auto"/>
        <w:bottom w:val="none" w:sz="0" w:space="0" w:color="auto"/>
        <w:right w:val="none" w:sz="0" w:space="0" w:color="auto"/>
      </w:divBdr>
    </w:div>
    <w:div w:id="641350518">
      <w:bodyDiv w:val="1"/>
      <w:marLeft w:val="0"/>
      <w:marRight w:val="0"/>
      <w:marTop w:val="0"/>
      <w:marBottom w:val="0"/>
      <w:divBdr>
        <w:top w:val="none" w:sz="0" w:space="0" w:color="auto"/>
        <w:left w:val="none" w:sz="0" w:space="0" w:color="auto"/>
        <w:bottom w:val="none" w:sz="0" w:space="0" w:color="auto"/>
        <w:right w:val="none" w:sz="0" w:space="0" w:color="auto"/>
      </w:divBdr>
      <w:divsChild>
        <w:div w:id="1793206489">
          <w:marLeft w:val="547"/>
          <w:marRight w:val="0"/>
          <w:marTop w:val="0"/>
          <w:marBottom w:val="0"/>
          <w:divBdr>
            <w:top w:val="none" w:sz="0" w:space="0" w:color="auto"/>
            <w:left w:val="none" w:sz="0" w:space="0" w:color="auto"/>
            <w:bottom w:val="none" w:sz="0" w:space="0" w:color="auto"/>
            <w:right w:val="none" w:sz="0" w:space="0" w:color="auto"/>
          </w:divBdr>
        </w:div>
        <w:div w:id="1900550163">
          <w:marLeft w:val="547"/>
          <w:marRight w:val="0"/>
          <w:marTop w:val="0"/>
          <w:marBottom w:val="0"/>
          <w:divBdr>
            <w:top w:val="none" w:sz="0" w:space="0" w:color="auto"/>
            <w:left w:val="none" w:sz="0" w:space="0" w:color="auto"/>
            <w:bottom w:val="none" w:sz="0" w:space="0" w:color="auto"/>
            <w:right w:val="none" w:sz="0" w:space="0" w:color="auto"/>
          </w:divBdr>
        </w:div>
      </w:divsChild>
    </w:div>
    <w:div w:id="728843056">
      <w:bodyDiv w:val="1"/>
      <w:marLeft w:val="0"/>
      <w:marRight w:val="0"/>
      <w:marTop w:val="0"/>
      <w:marBottom w:val="0"/>
      <w:divBdr>
        <w:top w:val="none" w:sz="0" w:space="0" w:color="auto"/>
        <w:left w:val="none" w:sz="0" w:space="0" w:color="auto"/>
        <w:bottom w:val="none" w:sz="0" w:space="0" w:color="auto"/>
        <w:right w:val="none" w:sz="0" w:space="0" w:color="auto"/>
      </w:divBdr>
      <w:divsChild>
        <w:div w:id="1023870524">
          <w:marLeft w:val="547"/>
          <w:marRight w:val="0"/>
          <w:marTop w:val="0"/>
          <w:marBottom w:val="160"/>
          <w:divBdr>
            <w:top w:val="none" w:sz="0" w:space="0" w:color="auto"/>
            <w:left w:val="none" w:sz="0" w:space="0" w:color="auto"/>
            <w:bottom w:val="none" w:sz="0" w:space="0" w:color="auto"/>
            <w:right w:val="none" w:sz="0" w:space="0" w:color="auto"/>
          </w:divBdr>
        </w:div>
        <w:div w:id="1341735536">
          <w:marLeft w:val="547"/>
          <w:marRight w:val="0"/>
          <w:marTop w:val="0"/>
          <w:marBottom w:val="160"/>
          <w:divBdr>
            <w:top w:val="none" w:sz="0" w:space="0" w:color="auto"/>
            <w:left w:val="none" w:sz="0" w:space="0" w:color="auto"/>
            <w:bottom w:val="none" w:sz="0" w:space="0" w:color="auto"/>
            <w:right w:val="none" w:sz="0" w:space="0" w:color="auto"/>
          </w:divBdr>
        </w:div>
        <w:div w:id="863131278">
          <w:marLeft w:val="547"/>
          <w:marRight w:val="0"/>
          <w:marTop w:val="0"/>
          <w:marBottom w:val="160"/>
          <w:divBdr>
            <w:top w:val="none" w:sz="0" w:space="0" w:color="auto"/>
            <w:left w:val="none" w:sz="0" w:space="0" w:color="auto"/>
            <w:bottom w:val="none" w:sz="0" w:space="0" w:color="auto"/>
            <w:right w:val="none" w:sz="0" w:space="0" w:color="auto"/>
          </w:divBdr>
        </w:div>
      </w:divsChild>
    </w:div>
    <w:div w:id="819662911">
      <w:bodyDiv w:val="1"/>
      <w:marLeft w:val="0"/>
      <w:marRight w:val="0"/>
      <w:marTop w:val="0"/>
      <w:marBottom w:val="0"/>
      <w:divBdr>
        <w:top w:val="none" w:sz="0" w:space="0" w:color="auto"/>
        <w:left w:val="none" w:sz="0" w:space="0" w:color="auto"/>
        <w:bottom w:val="none" w:sz="0" w:space="0" w:color="auto"/>
        <w:right w:val="none" w:sz="0" w:space="0" w:color="auto"/>
      </w:divBdr>
    </w:div>
    <w:div w:id="862942940">
      <w:bodyDiv w:val="1"/>
      <w:marLeft w:val="0"/>
      <w:marRight w:val="0"/>
      <w:marTop w:val="0"/>
      <w:marBottom w:val="0"/>
      <w:divBdr>
        <w:top w:val="none" w:sz="0" w:space="0" w:color="auto"/>
        <w:left w:val="none" w:sz="0" w:space="0" w:color="auto"/>
        <w:bottom w:val="none" w:sz="0" w:space="0" w:color="auto"/>
        <w:right w:val="none" w:sz="0" w:space="0" w:color="auto"/>
      </w:divBdr>
      <w:divsChild>
        <w:div w:id="676544838">
          <w:marLeft w:val="547"/>
          <w:marRight w:val="0"/>
          <w:marTop w:val="0"/>
          <w:marBottom w:val="0"/>
          <w:divBdr>
            <w:top w:val="none" w:sz="0" w:space="0" w:color="auto"/>
            <w:left w:val="none" w:sz="0" w:space="0" w:color="auto"/>
            <w:bottom w:val="none" w:sz="0" w:space="0" w:color="auto"/>
            <w:right w:val="none" w:sz="0" w:space="0" w:color="auto"/>
          </w:divBdr>
        </w:div>
      </w:divsChild>
    </w:div>
    <w:div w:id="947081886">
      <w:bodyDiv w:val="1"/>
      <w:marLeft w:val="0"/>
      <w:marRight w:val="0"/>
      <w:marTop w:val="0"/>
      <w:marBottom w:val="0"/>
      <w:divBdr>
        <w:top w:val="none" w:sz="0" w:space="0" w:color="auto"/>
        <w:left w:val="none" w:sz="0" w:space="0" w:color="auto"/>
        <w:bottom w:val="none" w:sz="0" w:space="0" w:color="auto"/>
        <w:right w:val="none" w:sz="0" w:space="0" w:color="auto"/>
      </w:divBdr>
      <w:divsChild>
        <w:div w:id="113599685">
          <w:marLeft w:val="547"/>
          <w:marRight w:val="0"/>
          <w:marTop w:val="0"/>
          <w:marBottom w:val="0"/>
          <w:divBdr>
            <w:top w:val="none" w:sz="0" w:space="0" w:color="auto"/>
            <w:left w:val="none" w:sz="0" w:space="0" w:color="auto"/>
            <w:bottom w:val="none" w:sz="0" w:space="0" w:color="auto"/>
            <w:right w:val="none" w:sz="0" w:space="0" w:color="auto"/>
          </w:divBdr>
        </w:div>
        <w:div w:id="583807215">
          <w:marLeft w:val="547"/>
          <w:marRight w:val="0"/>
          <w:marTop w:val="0"/>
          <w:marBottom w:val="0"/>
          <w:divBdr>
            <w:top w:val="none" w:sz="0" w:space="0" w:color="auto"/>
            <w:left w:val="none" w:sz="0" w:space="0" w:color="auto"/>
            <w:bottom w:val="none" w:sz="0" w:space="0" w:color="auto"/>
            <w:right w:val="none" w:sz="0" w:space="0" w:color="auto"/>
          </w:divBdr>
        </w:div>
        <w:div w:id="1121805334">
          <w:marLeft w:val="547"/>
          <w:marRight w:val="0"/>
          <w:marTop w:val="0"/>
          <w:marBottom w:val="0"/>
          <w:divBdr>
            <w:top w:val="none" w:sz="0" w:space="0" w:color="auto"/>
            <w:left w:val="none" w:sz="0" w:space="0" w:color="auto"/>
            <w:bottom w:val="none" w:sz="0" w:space="0" w:color="auto"/>
            <w:right w:val="none" w:sz="0" w:space="0" w:color="auto"/>
          </w:divBdr>
        </w:div>
        <w:div w:id="1990818409">
          <w:marLeft w:val="547"/>
          <w:marRight w:val="0"/>
          <w:marTop w:val="0"/>
          <w:marBottom w:val="0"/>
          <w:divBdr>
            <w:top w:val="none" w:sz="0" w:space="0" w:color="auto"/>
            <w:left w:val="none" w:sz="0" w:space="0" w:color="auto"/>
            <w:bottom w:val="none" w:sz="0" w:space="0" w:color="auto"/>
            <w:right w:val="none" w:sz="0" w:space="0" w:color="auto"/>
          </w:divBdr>
        </w:div>
      </w:divsChild>
    </w:div>
    <w:div w:id="977608943">
      <w:bodyDiv w:val="1"/>
      <w:marLeft w:val="0"/>
      <w:marRight w:val="0"/>
      <w:marTop w:val="0"/>
      <w:marBottom w:val="0"/>
      <w:divBdr>
        <w:top w:val="none" w:sz="0" w:space="0" w:color="auto"/>
        <w:left w:val="none" w:sz="0" w:space="0" w:color="auto"/>
        <w:bottom w:val="none" w:sz="0" w:space="0" w:color="auto"/>
        <w:right w:val="none" w:sz="0" w:space="0" w:color="auto"/>
      </w:divBdr>
      <w:divsChild>
        <w:div w:id="605817821">
          <w:marLeft w:val="547"/>
          <w:marRight w:val="0"/>
          <w:marTop w:val="0"/>
          <w:marBottom w:val="160"/>
          <w:divBdr>
            <w:top w:val="none" w:sz="0" w:space="0" w:color="auto"/>
            <w:left w:val="none" w:sz="0" w:space="0" w:color="auto"/>
            <w:bottom w:val="none" w:sz="0" w:space="0" w:color="auto"/>
            <w:right w:val="none" w:sz="0" w:space="0" w:color="auto"/>
          </w:divBdr>
        </w:div>
        <w:div w:id="94524965">
          <w:marLeft w:val="547"/>
          <w:marRight w:val="0"/>
          <w:marTop w:val="0"/>
          <w:marBottom w:val="160"/>
          <w:divBdr>
            <w:top w:val="none" w:sz="0" w:space="0" w:color="auto"/>
            <w:left w:val="none" w:sz="0" w:space="0" w:color="auto"/>
            <w:bottom w:val="none" w:sz="0" w:space="0" w:color="auto"/>
            <w:right w:val="none" w:sz="0" w:space="0" w:color="auto"/>
          </w:divBdr>
        </w:div>
        <w:div w:id="2116512944">
          <w:marLeft w:val="547"/>
          <w:marRight w:val="0"/>
          <w:marTop w:val="0"/>
          <w:marBottom w:val="160"/>
          <w:divBdr>
            <w:top w:val="none" w:sz="0" w:space="0" w:color="auto"/>
            <w:left w:val="none" w:sz="0" w:space="0" w:color="auto"/>
            <w:bottom w:val="none" w:sz="0" w:space="0" w:color="auto"/>
            <w:right w:val="none" w:sz="0" w:space="0" w:color="auto"/>
          </w:divBdr>
        </w:div>
      </w:divsChild>
    </w:div>
    <w:div w:id="1080057389">
      <w:bodyDiv w:val="1"/>
      <w:marLeft w:val="0"/>
      <w:marRight w:val="0"/>
      <w:marTop w:val="0"/>
      <w:marBottom w:val="0"/>
      <w:divBdr>
        <w:top w:val="none" w:sz="0" w:space="0" w:color="auto"/>
        <w:left w:val="none" w:sz="0" w:space="0" w:color="auto"/>
        <w:bottom w:val="none" w:sz="0" w:space="0" w:color="auto"/>
        <w:right w:val="none" w:sz="0" w:space="0" w:color="auto"/>
      </w:divBdr>
      <w:divsChild>
        <w:div w:id="503395908">
          <w:marLeft w:val="547"/>
          <w:marRight w:val="0"/>
          <w:marTop w:val="0"/>
          <w:marBottom w:val="0"/>
          <w:divBdr>
            <w:top w:val="none" w:sz="0" w:space="0" w:color="auto"/>
            <w:left w:val="none" w:sz="0" w:space="0" w:color="auto"/>
            <w:bottom w:val="none" w:sz="0" w:space="0" w:color="auto"/>
            <w:right w:val="none" w:sz="0" w:space="0" w:color="auto"/>
          </w:divBdr>
        </w:div>
        <w:div w:id="523638157">
          <w:marLeft w:val="547"/>
          <w:marRight w:val="0"/>
          <w:marTop w:val="0"/>
          <w:marBottom w:val="0"/>
          <w:divBdr>
            <w:top w:val="none" w:sz="0" w:space="0" w:color="auto"/>
            <w:left w:val="none" w:sz="0" w:space="0" w:color="auto"/>
            <w:bottom w:val="none" w:sz="0" w:space="0" w:color="auto"/>
            <w:right w:val="none" w:sz="0" w:space="0" w:color="auto"/>
          </w:divBdr>
        </w:div>
        <w:div w:id="998269009">
          <w:marLeft w:val="547"/>
          <w:marRight w:val="0"/>
          <w:marTop w:val="0"/>
          <w:marBottom w:val="120"/>
          <w:divBdr>
            <w:top w:val="none" w:sz="0" w:space="0" w:color="auto"/>
            <w:left w:val="none" w:sz="0" w:space="0" w:color="auto"/>
            <w:bottom w:val="none" w:sz="0" w:space="0" w:color="auto"/>
            <w:right w:val="none" w:sz="0" w:space="0" w:color="auto"/>
          </w:divBdr>
        </w:div>
        <w:div w:id="1602256260">
          <w:marLeft w:val="547"/>
          <w:marRight w:val="0"/>
          <w:marTop w:val="60"/>
          <w:marBottom w:val="0"/>
          <w:divBdr>
            <w:top w:val="none" w:sz="0" w:space="0" w:color="auto"/>
            <w:left w:val="none" w:sz="0" w:space="0" w:color="auto"/>
            <w:bottom w:val="none" w:sz="0" w:space="0" w:color="auto"/>
            <w:right w:val="none" w:sz="0" w:space="0" w:color="auto"/>
          </w:divBdr>
        </w:div>
        <w:div w:id="1797259316">
          <w:marLeft w:val="547"/>
          <w:marRight w:val="0"/>
          <w:marTop w:val="0"/>
          <w:marBottom w:val="0"/>
          <w:divBdr>
            <w:top w:val="none" w:sz="0" w:space="0" w:color="auto"/>
            <w:left w:val="none" w:sz="0" w:space="0" w:color="auto"/>
            <w:bottom w:val="none" w:sz="0" w:space="0" w:color="auto"/>
            <w:right w:val="none" w:sz="0" w:space="0" w:color="auto"/>
          </w:divBdr>
        </w:div>
        <w:div w:id="2090350384">
          <w:marLeft w:val="547"/>
          <w:marRight w:val="0"/>
          <w:marTop w:val="0"/>
          <w:marBottom w:val="0"/>
          <w:divBdr>
            <w:top w:val="none" w:sz="0" w:space="0" w:color="auto"/>
            <w:left w:val="none" w:sz="0" w:space="0" w:color="auto"/>
            <w:bottom w:val="none" w:sz="0" w:space="0" w:color="auto"/>
            <w:right w:val="none" w:sz="0" w:space="0" w:color="auto"/>
          </w:divBdr>
        </w:div>
      </w:divsChild>
    </w:div>
    <w:div w:id="1173910895">
      <w:bodyDiv w:val="1"/>
      <w:marLeft w:val="0"/>
      <w:marRight w:val="0"/>
      <w:marTop w:val="0"/>
      <w:marBottom w:val="0"/>
      <w:divBdr>
        <w:top w:val="none" w:sz="0" w:space="0" w:color="auto"/>
        <w:left w:val="none" w:sz="0" w:space="0" w:color="auto"/>
        <w:bottom w:val="none" w:sz="0" w:space="0" w:color="auto"/>
        <w:right w:val="none" w:sz="0" w:space="0" w:color="auto"/>
      </w:divBdr>
      <w:divsChild>
        <w:div w:id="159077577">
          <w:marLeft w:val="547"/>
          <w:marRight w:val="0"/>
          <w:marTop w:val="0"/>
          <w:marBottom w:val="0"/>
          <w:divBdr>
            <w:top w:val="none" w:sz="0" w:space="0" w:color="auto"/>
            <w:left w:val="none" w:sz="0" w:space="0" w:color="auto"/>
            <w:bottom w:val="none" w:sz="0" w:space="0" w:color="auto"/>
            <w:right w:val="none" w:sz="0" w:space="0" w:color="auto"/>
          </w:divBdr>
        </w:div>
      </w:divsChild>
    </w:div>
    <w:div w:id="1290478600">
      <w:bodyDiv w:val="1"/>
      <w:marLeft w:val="0"/>
      <w:marRight w:val="0"/>
      <w:marTop w:val="0"/>
      <w:marBottom w:val="0"/>
      <w:divBdr>
        <w:top w:val="none" w:sz="0" w:space="0" w:color="auto"/>
        <w:left w:val="none" w:sz="0" w:space="0" w:color="auto"/>
        <w:bottom w:val="none" w:sz="0" w:space="0" w:color="auto"/>
        <w:right w:val="none" w:sz="0" w:space="0" w:color="auto"/>
      </w:divBdr>
      <w:divsChild>
        <w:div w:id="1025670782">
          <w:marLeft w:val="547"/>
          <w:marRight w:val="0"/>
          <w:marTop w:val="0"/>
          <w:marBottom w:val="120"/>
          <w:divBdr>
            <w:top w:val="none" w:sz="0" w:space="0" w:color="auto"/>
            <w:left w:val="none" w:sz="0" w:space="0" w:color="auto"/>
            <w:bottom w:val="none" w:sz="0" w:space="0" w:color="auto"/>
            <w:right w:val="none" w:sz="0" w:space="0" w:color="auto"/>
          </w:divBdr>
        </w:div>
      </w:divsChild>
    </w:div>
    <w:div w:id="1390763624">
      <w:bodyDiv w:val="1"/>
      <w:marLeft w:val="0"/>
      <w:marRight w:val="0"/>
      <w:marTop w:val="0"/>
      <w:marBottom w:val="0"/>
      <w:divBdr>
        <w:top w:val="none" w:sz="0" w:space="0" w:color="auto"/>
        <w:left w:val="none" w:sz="0" w:space="0" w:color="auto"/>
        <w:bottom w:val="none" w:sz="0" w:space="0" w:color="auto"/>
        <w:right w:val="none" w:sz="0" w:space="0" w:color="auto"/>
      </w:divBdr>
    </w:div>
    <w:div w:id="1541821814">
      <w:bodyDiv w:val="1"/>
      <w:marLeft w:val="0"/>
      <w:marRight w:val="0"/>
      <w:marTop w:val="0"/>
      <w:marBottom w:val="0"/>
      <w:divBdr>
        <w:top w:val="none" w:sz="0" w:space="0" w:color="auto"/>
        <w:left w:val="none" w:sz="0" w:space="0" w:color="auto"/>
        <w:bottom w:val="none" w:sz="0" w:space="0" w:color="auto"/>
        <w:right w:val="none" w:sz="0" w:space="0" w:color="auto"/>
      </w:divBdr>
      <w:divsChild>
        <w:div w:id="1232613875">
          <w:marLeft w:val="547"/>
          <w:marRight w:val="0"/>
          <w:marTop w:val="0"/>
          <w:marBottom w:val="160"/>
          <w:divBdr>
            <w:top w:val="none" w:sz="0" w:space="0" w:color="auto"/>
            <w:left w:val="none" w:sz="0" w:space="0" w:color="auto"/>
            <w:bottom w:val="none" w:sz="0" w:space="0" w:color="auto"/>
            <w:right w:val="none" w:sz="0" w:space="0" w:color="auto"/>
          </w:divBdr>
        </w:div>
        <w:div w:id="772479031">
          <w:marLeft w:val="1166"/>
          <w:marRight w:val="0"/>
          <w:marTop w:val="0"/>
          <w:marBottom w:val="160"/>
          <w:divBdr>
            <w:top w:val="none" w:sz="0" w:space="0" w:color="auto"/>
            <w:left w:val="none" w:sz="0" w:space="0" w:color="auto"/>
            <w:bottom w:val="none" w:sz="0" w:space="0" w:color="auto"/>
            <w:right w:val="none" w:sz="0" w:space="0" w:color="auto"/>
          </w:divBdr>
        </w:div>
        <w:div w:id="379019520">
          <w:marLeft w:val="1800"/>
          <w:marRight w:val="0"/>
          <w:marTop w:val="0"/>
          <w:marBottom w:val="160"/>
          <w:divBdr>
            <w:top w:val="none" w:sz="0" w:space="0" w:color="auto"/>
            <w:left w:val="none" w:sz="0" w:space="0" w:color="auto"/>
            <w:bottom w:val="none" w:sz="0" w:space="0" w:color="auto"/>
            <w:right w:val="none" w:sz="0" w:space="0" w:color="auto"/>
          </w:divBdr>
        </w:div>
        <w:div w:id="1963150355">
          <w:marLeft w:val="1166"/>
          <w:marRight w:val="0"/>
          <w:marTop w:val="0"/>
          <w:marBottom w:val="160"/>
          <w:divBdr>
            <w:top w:val="none" w:sz="0" w:space="0" w:color="auto"/>
            <w:left w:val="none" w:sz="0" w:space="0" w:color="auto"/>
            <w:bottom w:val="none" w:sz="0" w:space="0" w:color="auto"/>
            <w:right w:val="none" w:sz="0" w:space="0" w:color="auto"/>
          </w:divBdr>
        </w:div>
        <w:div w:id="338434208">
          <w:marLeft w:val="1166"/>
          <w:marRight w:val="0"/>
          <w:marTop w:val="0"/>
          <w:marBottom w:val="160"/>
          <w:divBdr>
            <w:top w:val="none" w:sz="0" w:space="0" w:color="auto"/>
            <w:left w:val="none" w:sz="0" w:space="0" w:color="auto"/>
            <w:bottom w:val="none" w:sz="0" w:space="0" w:color="auto"/>
            <w:right w:val="none" w:sz="0" w:space="0" w:color="auto"/>
          </w:divBdr>
        </w:div>
        <w:div w:id="612129363">
          <w:marLeft w:val="547"/>
          <w:marRight w:val="0"/>
          <w:marTop w:val="0"/>
          <w:marBottom w:val="160"/>
          <w:divBdr>
            <w:top w:val="none" w:sz="0" w:space="0" w:color="auto"/>
            <w:left w:val="none" w:sz="0" w:space="0" w:color="auto"/>
            <w:bottom w:val="none" w:sz="0" w:space="0" w:color="auto"/>
            <w:right w:val="none" w:sz="0" w:space="0" w:color="auto"/>
          </w:divBdr>
        </w:div>
        <w:div w:id="1537113888">
          <w:marLeft w:val="1166"/>
          <w:marRight w:val="0"/>
          <w:marTop w:val="0"/>
          <w:marBottom w:val="160"/>
          <w:divBdr>
            <w:top w:val="none" w:sz="0" w:space="0" w:color="auto"/>
            <w:left w:val="none" w:sz="0" w:space="0" w:color="auto"/>
            <w:bottom w:val="none" w:sz="0" w:space="0" w:color="auto"/>
            <w:right w:val="none" w:sz="0" w:space="0" w:color="auto"/>
          </w:divBdr>
        </w:div>
        <w:div w:id="1552768475">
          <w:marLeft w:val="1166"/>
          <w:marRight w:val="0"/>
          <w:marTop w:val="0"/>
          <w:marBottom w:val="160"/>
          <w:divBdr>
            <w:top w:val="none" w:sz="0" w:space="0" w:color="auto"/>
            <w:left w:val="none" w:sz="0" w:space="0" w:color="auto"/>
            <w:bottom w:val="none" w:sz="0" w:space="0" w:color="auto"/>
            <w:right w:val="none" w:sz="0" w:space="0" w:color="auto"/>
          </w:divBdr>
        </w:div>
        <w:div w:id="1316566021">
          <w:marLeft w:val="1166"/>
          <w:marRight w:val="0"/>
          <w:marTop w:val="0"/>
          <w:marBottom w:val="160"/>
          <w:divBdr>
            <w:top w:val="none" w:sz="0" w:space="0" w:color="auto"/>
            <w:left w:val="none" w:sz="0" w:space="0" w:color="auto"/>
            <w:bottom w:val="none" w:sz="0" w:space="0" w:color="auto"/>
            <w:right w:val="none" w:sz="0" w:space="0" w:color="auto"/>
          </w:divBdr>
        </w:div>
        <w:div w:id="87315588">
          <w:marLeft w:val="1166"/>
          <w:marRight w:val="0"/>
          <w:marTop w:val="0"/>
          <w:marBottom w:val="160"/>
          <w:divBdr>
            <w:top w:val="none" w:sz="0" w:space="0" w:color="auto"/>
            <w:left w:val="none" w:sz="0" w:space="0" w:color="auto"/>
            <w:bottom w:val="none" w:sz="0" w:space="0" w:color="auto"/>
            <w:right w:val="none" w:sz="0" w:space="0" w:color="auto"/>
          </w:divBdr>
        </w:div>
      </w:divsChild>
    </w:div>
    <w:div w:id="1735859012">
      <w:bodyDiv w:val="1"/>
      <w:marLeft w:val="0"/>
      <w:marRight w:val="0"/>
      <w:marTop w:val="0"/>
      <w:marBottom w:val="0"/>
      <w:divBdr>
        <w:top w:val="none" w:sz="0" w:space="0" w:color="auto"/>
        <w:left w:val="none" w:sz="0" w:space="0" w:color="auto"/>
        <w:bottom w:val="none" w:sz="0" w:space="0" w:color="auto"/>
        <w:right w:val="none" w:sz="0" w:space="0" w:color="auto"/>
      </w:divBdr>
      <w:divsChild>
        <w:div w:id="120466156">
          <w:marLeft w:val="547"/>
          <w:marRight w:val="0"/>
          <w:marTop w:val="0"/>
          <w:marBottom w:val="160"/>
          <w:divBdr>
            <w:top w:val="none" w:sz="0" w:space="0" w:color="auto"/>
            <w:left w:val="none" w:sz="0" w:space="0" w:color="auto"/>
            <w:bottom w:val="none" w:sz="0" w:space="0" w:color="auto"/>
            <w:right w:val="none" w:sz="0" w:space="0" w:color="auto"/>
          </w:divBdr>
        </w:div>
        <w:div w:id="859202106">
          <w:marLeft w:val="547"/>
          <w:marRight w:val="0"/>
          <w:marTop w:val="0"/>
          <w:marBottom w:val="160"/>
          <w:divBdr>
            <w:top w:val="none" w:sz="0" w:space="0" w:color="auto"/>
            <w:left w:val="none" w:sz="0" w:space="0" w:color="auto"/>
            <w:bottom w:val="none" w:sz="0" w:space="0" w:color="auto"/>
            <w:right w:val="none" w:sz="0" w:space="0" w:color="auto"/>
          </w:divBdr>
        </w:div>
      </w:divsChild>
    </w:div>
    <w:div w:id="1853450793">
      <w:bodyDiv w:val="1"/>
      <w:marLeft w:val="0"/>
      <w:marRight w:val="0"/>
      <w:marTop w:val="0"/>
      <w:marBottom w:val="0"/>
      <w:divBdr>
        <w:top w:val="none" w:sz="0" w:space="0" w:color="auto"/>
        <w:left w:val="none" w:sz="0" w:space="0" w:color="auto"/>
        <w:bottom w:val="none" w:sz="0" w:space="0" w:color="auto"/>
        <w:right w:val="none" w:sz="0" w:space="0" w:color="auto"/>
      </w:divBdr>
      <w:divsChild>
        <w:div w:id="1613123993">
          <w:marLeft w:val="547"/>
          <w:marRight w:val="0"/>
          <w:marTop w:val="0"/>
          <w:marBottom w:val="0"/>
          <w:divBdr>
            <w:top w:val="none" w:sz="0" w:space="0" w:color="auto"/>
            <w:left w:val="none" w:sz="0" w:space="0" w:color="auto"/>
            <w:bottom w:val="none" w:sz="0" w:space="0" w:color="auto"/>
            <w:right w:val="none" w:sz="0" w:space="0" w:color="auto"/>
          </w:divBdr>
        </w:div>
        <w:div w:id="1834254274">
          <w:marLeft w:val="547"/>
          <w:marRight w:val="0"/>
          <w:marTop w:val="0"/>
          <w:marBottom w:val="0"/>
          <w:divBdr>
            <w:top w:val="none" w:sz="0" w:space="0" w:color="auto"/>
            <w:left w:val="none" w:sz="0" w:space="0" w:color="auto"/>
            <w:bottom w:val="none" w:sz="0" w:space="0" w:color="auto"/>
            <w:right w:val="none" w:sz="0" w:space="0" w:color="auto"/>
          </w:divBdr>
        </w:div>
      </w:divsChild>
    </w:div>
    <w:div w:id="1875969498">
      <w:bodyDiv w:val="1"/>
      <w:marLeft w:val="0"/>
      <w:marRight w:val="0"/>
      <w:marTop w:val="0"/>
      <w:marBottom w:val="0"/>
      <w:divBdr>
        <w:top w:val="none" w:sz="0" w:space="0" w:color="auto"/>
        <w:left w:val="none" w:sz="0" w:space="0" w:color="auto"/>
        <w:bottom w:val="none" w:sz="0" w:space="0" w:color="auto"/>
        <w:right w:val="none" w:sz="0" w:space="0" w:color="auto"/>
      </w:divBdr>
      <w:divsChild>
        <w:div w:id="827792688">
          <w:marLeft w:val="360"/>
          <w:marRight w:val="0"/>
          <w:marTop w:val="200"/>
          <w:marBottom w:val="0"/>
          <w:divBdr>
            <w:top w:val="none" w:sz="0" w:space="0" w:color="auto"/>
            <w:left w:val="none" w:sz="0" w:space="0" w:color="auto"/>
            <w:bottom w:val="none" w:sz="0" w:space="0" w:color="auto"/>
            <w:right w:val="none" w:sz="0" w:space="0" w:color="auto"/>
          </w:divBdr>
        </w:div>
        <w:div w:id="886452947">
          <w:marLeft w:val="1080"/>
          <w:marRight w:val="0"/>
          <w:marTop w:val="100"/>
          <w:marBottom w:val="0"/>
          <w:divBdr>
            <w:top w:val="none" w:sz="0" w:space="0" w:color="auto"/>
            <w:left w:val="none" w:sz="0" w:space="0" w:color="auto"/>
            <w:bottom w:val="none" w:sz="0" w:space="0" w:color="auto"/>
            <w:right w:val="none" w:sz="0" w:space="0" w:color="auto"/>
          </w:divBdr>
        </w:div>
        <w:div w:id="2101019095">
          <w:marLeft w:val="1080"/>
          <w:marRight w:val="0"/>
          <w:marTop w:val="100"/>
          <w:marBottom w:val="0"/>
          <w:divBdr>
            <w:top w:val="none" w:sz="0" w:space="0" w:color="auto"/>
            <w:left w:val="none" w:sz="0" w:space="0" w:color="auto"/>
            <w:bottom w:val="none" w:sz="0" w:space="0" w:color="auto"/>
            <w:right w:val="none" w:sz="0" w:space="0" w:color="auto"/>
          </w:divBdr>
        </w:div>
      </w:divsChild>
    </w:div>
    <w:div w:id="1942177729">
      <w:bodyDiv w:val="1"/>
      <w:marLeft w:val="0"/>
      <w:marRight w:val="0"/>
      <w:marTop w:val="0"/>
      <w:marBottom w:val="0"/>
      <w:divBdr>
        <w:top w:val="none" w:sz="0" w:space="0" w:color="auto"/>
        <w:left w:val="none" w:sz="0" w:space="0" w:color="auto"/>
        <w:bottom w:val="none" w:sz="0" w:space="0" w:color="auto"/>
        <w:right w:val="none" w:sz="0" w:space="0" w:color="auto"/>
      </w:divBdr>
      <w:divsChild>
        <w:div w:id="1420515909">
          <w:marLeft w:val="547"/>
          <w:marRight w:val="0"/>
          <w:marTop w:val="0"/>
          <w:marBottom w:val="160"/>
          <w:divBdr>
            <w:top w:val="none" w:sz="0" w:space="0" w:color="auto"/>
            <w:left w:val="none" w:sz="0" w:space="0" w:color="auto"/>
            <w:bottom w:val="none" w:sz="0" w:space="0" w:color="auto"/>
            <w:right w:val="none" w:sz="0" w:space="0" w:color="auto"/>
          </w:divBdr>
        </w:div>
        <w:div w:id="1514224441">
          <w:marLeft w:val="547"/>
          <w:marRight w:val="0"/>
          <w:marTop w:val="0"/>
          <w:marBottom w:val="160"/>
          <w:divBdr>
            <w:top w:val="none" w:sz="0" w:space="0" w:color="auto"/>
            <w:left w:val="none" w:sz="0" w:space="0" w:color="auto"/>
            <w:bottom w:val="none" w:sz="0" w:space="0" w:color="auto"/>
            <w:right w:val="none" w:sz="0" w:space="0" w:color="auto"/>
          </w:divBdr>
        </w:div>
        <w:div w:id="610281198">
          <w:marLeft w:val="547"/>
          <w:marRight w:val="0"/>
          <w:marTop w:val="0"/>
          <w:marBottom w:val="160"/>
          <w:divBdr>
            <w:top w:val="none" w:sz="0" w:space="0" w:color="auto"/>
            <w:left w:val="none" w:sz="0" w:space="0" w:color="auto"/>
            <w:bottom w:val="none" w:sz="0" w:space="0" w:color="auto"/>
            <w:right w:val="none" w:sz="0" w:space="0" w:color="auto"/>
          </w:divBdr>
        </w:div>
        <w:div w:id="1134523923">
          <w:marLeft w:val="547"/>
          <w:marRight w:val="0"/>
          <w:marTop w:val="0"/>
          <w:marBottom w:val="160"/>
          <w:divBdr>
            <w:top w:val="none" w:sz="0" w:space="0" w:color="auto"/>
            <w:left w:val="none" w:sz="0" w:space="0" w:color="auto"/>
            <w:bottom w:val="none" w:sz="0" w:space="0" w:color="auto"/>
            <w:right w:val="none" w:sz="0" w:space="0" w:color="auto"/>
          </w:divBdr>
        </w:div>
      </w:divsChild>
    </w:div>
    <w:div w:id="1996908134">
      <w:bodyDiv w:val="1"/>
      <w:marLeft w:val="0"/>
      <w:marRight w:val="0"/>
      <w:marTop w:val="0"/>
      <w:marBottom w:val="0"/>
      <w:divBdr>
        <w:top w:val="none" w:sz="0" w:space="0" w:color="auto"/>
        <w:left w:val="none" w:sz="0" w:space="0" w:color="auto"/>
        <w:bottom w:val="none" w:sz="0" w:space="0" w:color="auto"/>
        <w:right w:val="none" w:sz="0" w:space="0" w:color="auto"/>
      </w:divBdr>
      <w:divsChild>
        <w:div w:id="609091807">
          <w:marLeft w:val="547"/>
          <w:marRight w:val="0"/>
          <w:marTop w:val="0"/>
          <w:marBottom w:val="0"/>
          <w:divBdr>
            <w:top w:val="none" w:sz="0" w:space="0" w:color="auto"/>
            <w:left w:val="none" w:sz="0" w:space="0" w:color="auto"/>
            <w:bottom w:val="none" w:sz="0" w:space="0" w:color="auto"/>
            <w:right w:val="none" w:sz="0" w:space="0" w:color="auto"/>
          </w:divBdr>
        </w:div>
        <w:div w:id="648437136">
          <w:marLeft w:val="547"/>
          <w:marRight w:val="0"/>
          <w:marTop w:val="60"/>
          <w:marBottom w:val="0"/>
          <w:divBdr>
            <w:top w:val="none" w:sz="0" w:space="0" w:color="auto"/>
            <w:left w:val="none" w:sz="0" w:space="0" w:color="auto"/>
            <w:bottom w:val="none" w:sz="0" w:space="0" w:color="auto"/>
            <w:right w:val="none" w:sz="0" w:space="0" w:color="auto"/>
          </w:divBdr>
        </w:div>
        <w:div w:id="983781594">
          <w:marLeft w:val="547"/>
          <w:marRight w:val="0"/>
          <w:marTop w:val="0"/>
          <w:marBottom w:val="0"/>
          <w:divBdr>
            <w:top w:val="none" w:sz="0" w:space="0" w:color="auto"/>
            <w:left w:val="none" w:sz="0" w:space="0" w:color="auto"/>
            <w:bottom w:val="none" w:sz="0" w:space="0" w:color="auto"/>
            <w:right w:val="none" w:sz="0" w:space="0" w:color="auto"/>
          </w:divBdr>
        </w:div>
        <w:div w:id="1122505094">
          <w:marLeft w:val="547"/>
          <w:marRight w:val="0"/>
          <w:marTop w:val="0"/>
          <w:marBottom w:val="120"/>
          <w:divBdr>
            <w:top w:val="none" w:sz="0" w:space="0" w:color="auto"/>
            <w:left w:val="none" w:sz="0" w:space="0" w:color="auto"/>
            <w:bottom w:val="none" w:sz="0" w:space="0" w:color="auto"/>
            <w:right w:val="none" w:sz="0" w:space="0" w:color="auto"/>
          </w:divBdr>
        </w:div>
        <w:div w:id="1362780555">
          <w:marLeft w:val="547"/>
          <w:marRight w:val="0"/>
          <w:marTop w:val="0"/>
          <w:marBottom w:val="0"/>
          <w:divBdr>
            <w:top w:val="none" w:sz="0" w:space="0" w:color="auto"/>
            <w:left w:val="none" w:sz="0" w:space="0" w:color="auto"/>
            <w:bottom w:val="none" w:sz="0" w:space="0" w:color="auto"/>
            <w:right w:val="none" w:sz="0" w:space="0" w:color="auto"/>
          </w:divBdr>
        </w:div>
        <w:div w:id="1587766262">
          <w:marLeft w:val="547"/>
          <w:marRight w:val="0"/>
          <w:marTop w:val="0"/>
          <w:marBottom w:val="0"/>
          <w:divBdr>
            <w:top w:val="none" w:sz="0" w:space="0" w:color="auto"/>
            <w:left w:val="none" w:sz="0" w:space="0" w:color="auto"/>
            <w:bottom w:val="none" w:sz="0" w:space="0" w:color="auto"/>
            <w:right w:val="none" w:sz="0" w:space="0" w:color="auto"/>
          </w:divBdr>
        </w:div>
        <w:div w:id="201197983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608DA-1D67-4D92-BD8E-B5336A6B5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11583</Words>
  <Characters>61390</Characters>
  <Application>Microsoft Office Word</Application>
  <DocSecurity>0</DocSecurity>
  <Lines>511</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72828</CharactersWithSpaces>
  <SharedDoc>false</SharedDoc>
  <HLinks>
    <vt:vector size="210" baseType="variant">
      <vt:variant>
        <vt:i4>1245235</vt:i4>
      </vt:variant>
      <vt:variant>
        <vt:i4>245</vt:i4>
      </vt:variant>
      <vt:variant>
        <vt:i4>0</vt:i4>
      </vt:variant>
      <vt:variant>
        <vt:i4>5</vt:i4>
      </vt:variant>
      <vt:variant>
        <vt:lpwstr/>
      </vt:variant>
      <vt:variant>
        <vt:lpwstr>_Toc82718344</vt:lpwstr>
      </vt:variant>
      <vt:variant>
        <vt:i4>1310771</vt:i4>
      </vt:variant>
      <vt:variant>
        <vt:i4>242</vt:i4>
      </vt:variant>
      <vt:variant>
        <vt:i4>0</vt:i4>
      </vt:variant>
      <vt:variant>
        <vt:i4>5</vt:i4>
      </vt:variant>
      <vt:variant>
        <vt:lpwstr/>
      </vt:variant>
      <vt:variant>
        <vt:lpwstr>_Toc82718343</vt:lpwstr>
      </vt:variant>
      <vt:variant>
        <vt:i4>1376307</vt:i4>
      </vt:variant>
      <vt:variant>
        <vt:i4>239</vt:i4>
      </vt:variant>
      <vt:variant>
        <vt:i4>0</vt:i4>
      </vt:variant>
      <vt:variant>
        <vt:i4>5</vt:i4>
      </vt:variant>
      <vt:variant>
        <vt:lpwstr/>
      </vt:variant>
      <vt:variant>
        <vt:lpwstr>_Toc82718342</vt:lpwstr>
      </vt:variant>
      <vt:variant>
        <vt:i4>1441843</vt:i4>
      </vt:variant>
      <vt:variant>
        <vt:i4>236</vt:i4>
      </vt:variant>
      <vt:variant>
        <vt:i4>0</vt:i4>
      </vt:variant>
      <vt:variant>
        <vt:i4>5</vt:i4>
      </vt:variant>
      <vt:variant>
        <vt:lpwstr/>
      </vt:variant>
      <vt:variant>
        <vt:lpwstr>_Toc82718341</vt:lpwstr>
      </vt:variant>
      <vt:variant>
        <vt:i4>1507379</vt:i4>
      </vt:variant>
      <vt:variant>
        <vt:i4>233</vt:i4>
      </vt:variant>
      <vt:variant>
        <vt:i4>0</vt:i4>
      </vt:variant>
      <vt:variant>
        <vt:i4>5</vt:i4>
      </vt:variant>
      <vt:variant>
        <vt:lpwstr/>
      </vt:variant>
      <vt:variant>
        <vt:lpwstr>_Toc82718340</vt:lpwstr>
      </vt:variant>
      <vt:variant>
        <vt:i4>1966132</vt:i4>
      </vt:variant>
      <vt:variant>
        <vt:i4>230</vt:i4>
      </vt:variant>
      <vt:variant>
        <vt:i4>0</vt:i4>
      </vt:variant>
      <vt:variant>
        <vt:i4>5</vt:i4>
      </vt:variant>
      <vt:variant>
        <vt:lpwstr/>
      </vt:variant>
      <vt:variant>
        <vt:lpwstr>_Toc82718339</vt:lpwstr>
      </vt:variant>
      <vt:variant>
        <vt:i4>2031668</vt:i4>
      </vt:variant>
      <vt:variant>
        <vt:i4>227</vt:i4>
      </vt:variant>
      <vt:variant>
        <vt:i4>0</vt:i4>
      </vt:variant>
      <vt:variant>
        <vt:i4>5</vt:i4>
      </vt:variant>
      <vt:variant>
        <vt:lpwstr/>
      </vt:variant>
      <vt:variant>
        <vt:lpwstr>_Toc82718338</vt:lpwstr>
      </vt:variant>
      <vt:variant>
        <vt:i4>1048628</vt:i4>
      </vt:variant>
      <vt:variant>
        <vt:i4>224</vt:i4>
      </vt:variant>
      <vt:variant>
        <vt:i4>0</vt:i4>
      </vt:variant>
      <vt:variant>
        <vt:i4>5</vt:i4>
      </vt:variant>
      <vt:variant>
        <vt:lpwstr/>
      </vt:variant>
      <vt:variant>
        <vt:lpwstr>_Toc82718337</vt:lpwstr>
      </vt:variant>
      <vt:variant>
        <vt:i4>1114164</vt:i4>
      </vt:variant>
      <vt:variant>
        <vt:i4>221</vt:i4>
      </vt:variant>
      <vt:variant>
        <vt:i4>0</vt:i4>
      </vt:variant>
      <vt:variant>
        <vt:i4>5</vt:i4>
      </vt:variant>
      <vt:variant>
        <vt:lpwstr/>
      </vt:variant>
      <vt:variant>
        <vt:lpwstr>_Toc82718336</vt:lpwstr>
      </vt:variant>
      <vt:variant>
        <vt:i4>1179700</vt:i4>
      </vt:variant>
      <vt:variant>
        <vt:i4>218</vt:i4>
      </vt:variant>
      <vt:variant>
        <vt:i4>0</vt:i4>
      </vt:variant>
      <vt:variant>
        <vt:i4>5</vt:i4>
      </vt:variant>
      <vt:variant>
        <vt:lpwstr/>
      </vt:variant>
      <vt:variant>
        <vt:lpwstr>_Toc82718335</vt:lpwstr>
      </vt:variant>
      <vt:variant>
        <vt:i4>1245236</vt:i4>
      </vt:variant>
      <vt:variant>
        <vt:i4>215</vt:i4>
      </vt:variant>
      <vt:variant>
        <vt:i4>0</vt:i4>
      </vt:variant>
      <vt:variant>
        <vt:i4>5</vt:i4>
      </vt:variant>
      <vt:variant>
        <vt:lpwstr/>
      </vt:variant>
      <vt:variant>
        <vt:lpwstr>_Toc82718334</vt:lpwstr>
      </vt:variant>
      <vt:variant>
        <vt:i4>1310772</vt:i4>
      </vt:variant>
      <vt:variant>
        <vt:i4>212</vt:i4>
      </vt:variant>
      <vt:variant>
        <vt:i4>0</vt:i4>
      </vt:variant>
      <vt:variant>
        <vt:i4>5</vt:i4>
      </vt:variant>
      <vt:variant>
        <vt:lpwstr/>
      </vt:variant>
      <vt:variant>
        <vt:lpwstr>_Toc82718333</vt:lpwstr>
      </vt:variant>
      <vt:variant>
        <vt:i4>1376308</vt:i4>
      </vt:variant>
      <vt:variant>
        <vt:i4>209</vt:i4>
      </vt:variant>
      <vt:variant>
        <vt:i4>0</vt:i4>
      </vt:variant>
      <vt:variant>
        <vt:i4>5</vt:i4>
      </vt:variant>
      <vt:variant>
        <vt:lpwstr/>
      </vt:variant>
      <vt:variant>
        <vt:lpwstr>_Toc82718332</vt:lpwstr>
      </vt:variant>
      <vt:variant>
        <vt:i4>1441844</vt:i4>
      </vt:variant>
      <vt:variant>
        <vt:i4>206</vt:i4>
      </vt:variant>
      <vt:variant>
        <vt:i4>0</vt:i4>
      </vt:variant>
      <vt:variant>
        <vt:i4>5</vt:i4>
      </vt:variant>
      <vt:variant>
        <vt:lpwstr/>
      </vt:variant>
      <vt:variant>
        <vt:lpwstr>_Toc82718331</vt:lpwstr>
      </vt:variant>
      <vt:variant>
        <vt:i4>1507380</vt:i4>
      </vt:variant>
      <vt:variant>
        <vt:i4>203</vt:i4>
      </vt:variant>
      <vt:variant>
        <vt:i4>0</vt:i4>
      </vt:variant>
      <vt:variant>
        <vt:i4>5</vt:i4>
      </vt:variant>
      <vt:variant>
        <vt:lpwstr/>
      </vt:variant>
      <vt:variant>
        <vt:lpwstr>_Toc82718330</vt:lpwstr>
      </vt:variant>
      <vt:variant>
        <vt:i4>1966133</vt:i4>
      </vt:variant>
      <vt:variant>
        <vt:i4>200</vt:i4>
      </vt:variant>
      <vt:variant>
        <vt:i4>0</vt:i4>
      </vt:variant>
      <vt:variant>
        <vt:i4>5</vt:i4>
      </vt:variant>
      <vt:variant>
        <vt:lpwstr/>
      </vt:variant>
      <vt:variant>
        <vt:lpwstr>_Toc82718329</vt:lpwstr>
      </vt:variant>
      <vt:variant>
        <vt:i4>2031669</vt:i4>
      </vt:variant>
      <vt:variant>
        <vt:i4>197</vt:i4>
      </vt:variant>
      <vt:variant>
        <vt:i4>0</vt:i4>
      </vt:variant>
      <vt:variant>
        <vt:i4>5</vt:i4>
      </vt:variant>
      <vt:variant>
        <vt:lpwstr/>
      </vt:variant>
      <vt:variant>
        <vt:lpwstr>_Toc82718328</vt:lpwstr>
      </vt:variant>
      <vt:variant>
        <vt:i4>1048629</vt:i4>
      </vt:variant>
      <vt:variant>
        <vt:i4>194</vt:i4>
      </vt:variant>
      <vt:variant>
        <vt:i4>0</vt:i4>
      </vt:variant>
      <vt:variant>
        <vt:i4>5</vt:i4>
      </vt:variant>
      <vt:variant>
        <vt:lpwstr/>
      </vt:variant>
      <vt:variant>
        <vt:lpwstr>_Toc82718327</vt:lpwstr>
      </vt:variant>
      <vt:variant>
        <vt:i4>1114165</vt:i4>
      </vt:variant>
      <vt:variant>
        <vt:i4>191</vt:i4>
      </vt:variant>
      <vt:variant>
        <vt:i4>0</vt:i4>
      </vt:variant>
      <vt:variant>
        <vt:i4>5</vt:i4>
      </vt:variant>
      <vt:variant>
        <vt:lpwstr/>
      </vt:variant>
      <vt:variant>
        <vt:lpwstr>_Toc82718326</vt:lpwstr>
      </vt:variant>
      <vt:variant>
        <vt:i4>1179701</vt:i4>
      </vt:variant>
      <vt:variant>
        <vt:i4>188</vt:i4>
      </vt:variant>
      <vt:variant>
        <vt:i4>0</vt:i4>
      </vt:variant>
      <vt:variant>
        <vt:i4>5</vt:i4>
      </vt:variant>
      <vt:variant>
        <vt:lpwstr/>
      </vt:variant>
      <vt:variant>
        <vt:lpwstr>_Toc82718325</vt:lpwstr>
      </vt:variant>
      <vt:variant>
        <vt:i4>1245237</vt:i4>
      </vt:variant>
      <vt:variant>
        <vt:i4>185</vt:i4>
      </vt:variant>
      <vt:variant>
        <vt:i4>0</vt:i4>
      </vt:variant>
      <vt:variant>
        <vt:i4>5</vt:i4>
      </vt:variant>
      <vt:variant>
        <vt:lpwstr/>
      </vt:variant>
      <vt:variant>
        <vt:lpwstr>_Toc82718324</vt:lpwstr>
      </vt:variant>
      <vt:variant>
        <vt:i4>1310773</vt:i4>
      </vt:variant>
      <vt:variant>
        <vt:i4>182</vt:i4>
      </vt:variant>
      <vt:variant>
        <vt:i4>0</vt:i4>
      </vt:variant>
      <vt:variant>
        <vt:i4>5</vt:i4>
      </vt:variant>
      <vt:variant>
        <vt:lpwstr/>
      </vt:variant>
      <vt:variant>
        <vt:lpwstr>_Toc82718323</vt:lpwstr>
      </vt:variant>
      <vt:variant>
        <vt:i4>1376309</vt:i4>
      </vt:variant>
      <vt:variant>
        <vt:i4>179</vt:i4>
      </vt:variant>
      <vt:variant>
        <vt:i4>0</vt:i4>
      </vt:variant>
      <vt:variant>
        <vt:i4>5</vt:i4>
      </vt:variant>
      <vt:variant>
        <vt:lpwstr/>
      </vt:variant>
      <vt:variant>
        <vt:lpwstr>_Toc82718322</vt:lpwstr>
      </vt:variant>
      <vt:variant>
        <vt:i4>1441845</vt:i4>
      </vt:variant>
      <vt:variant>
        <vt:i4>176</vt:i4>
      </vt:variant>
      <vt:variant>
        <vt:i4>0</vt:i4>
      </vt:variant>
      <vt:variant>
        <vt:i4>5</vt:i4>
      </vt:variant>
      <vt:variant>
        <vt:lpwstr/>
      </vt:variant>
      <vt:variant>
        <vt:lpwstr>_Toc82718321</vt:lpwstr>
      </vt:variant>
      <vt:variant>
        <vt:i4>1507381</vt:i4>
      </vt:variant>
      <vt:variant>
        <vt:i4>173</vt:i4>
      </vt:variant>
      <vt:variant>
        <vt:i4>0</vt:i4>
      </vt:variant>
      <vt:variant>
        <vt:i4>5</vt:i4>
      </vt:variant>
      <vt:variant>
        <vt:lpwstr/>
      </vt:variant>
      <vt:variant>
        <vt:lpwstr>_Toc82718320</vt:lpwstr>
      </vt:variant>
      <vt:variant>
        <vt:i4>1966134</vt:i4>
      </vt:variant>
      <vt:variant>
        <vt:i4>170</vt:i4>
      </vt:variant>
      <vt:variant>
        <vt:i4>0</vt:i4>
      </vt:variant>
      <vt:variant>
        <vt:i4>5</vt:i4>
      </vt:variant>
      <vt:variant>
        <vt:lpwstr/>
      </vt:variant>
      <vt:variant>
        <vt:lpwstr>_Toc82718319</vt:lpwstr>
      </vt:variant>
      <vt:variant>
        <vt:i4>2031670</vt:i4>
      </vt:variant>
      <vt:variant>
        <vt:i4>167</vt:i4>
      </vt:variant>
      <vt:variant>
        <vt:i4>0</vt:i4>
      </vt:variant>
      <vt:variant>
        <vt:i4>5</vt:i4>
      </vt:variant>
      <vt:variant>
        <vt:lpwstr/>
      </vt:variant>
      <vt:variant>
        <vt:lpwstr>_Toc82718318</vt:lpwstr>
      </vt:variant>
      <vt:variant>
        <vt:i4>1048630</vt:i4>
      </vt:variant>
      <vt:variant>
        <vt:i4>164</vt:i4>
      </vt:variant>
      <vt:variant>
        <vt:i4>0</vt:i4>
      </vt:variant>
      <vt:variant>
        <vt:i4>5</vt:i4>
      </vt:variant>
      <vt:variant>
        <vt:lpwstr/>
      </vt:variant>
      <vt:variant>
        <vt:lpwstr>_Toc82718317</vt:lpwstr>
      </vt:variant>
      <vt:variant>
        <vt:i4>1114166</vt:i4>
      </vt:variant>
      <vt:variant>
        <vt:i4>161</vt:i4>
      </vt:variant>
      <vt:variant>
        <vt:i4>0</vt:i4>
      </vt:variant>
      <vt:variant>
        <vt:i4>5</vt:i4>
      </vt:variant>
      <vt:variant>
        <vt:lpwstr/>
      </vt:variant>
      <vt:variant>
        <vt:lpwstr>_Toc82718316</vt:lpwstr>
      </vt:variant>
      <vt:variant>
        <vt:i4>1179702</vt:i4>
      </vt:variant>
      <vt:variant>
        <vt:i4>137</vt:i4>
      </vt:variant>
      <vt:variant>
        <vt:i4>0</vt:i4>
      </vt:variant>
      <vt:variant>
        <vt:i4>5</vt:i4>
      </vt:variant>
      <vt:variant>
        <vt:lpwstr/>
      </vt:variant>
      <vt:variant>
        <vt:lpwstr>_Toc82718315</vt:lpwstr>
      </vt:variant>
      <vt:variant>
        <vt:i4>1245238</vt:i4>
      </vt:variant>
      <vt:variant>
        <vt:i4>134</vt:i4>
      </vt:variant>
      <vt:variant>
        <vt:i4>0</vt:i4>
      </vt:variant>
      <vt:variant>
        <vt:i4>5</vt:i4>
      </vt:variant>
      <vt:variant>
        <vt:lpwstr/>
      </vt:variant>
      <vt:variant>
        <vt:lpwstr>_Toc82718314</vt:lpwstr>
      </vt:variant>
      <vt:variant>
        <vt:i4>1310774</vt:i4>
      </vt:variant>
      <vt:variant>
        <vt:i4>131</vt:i4>
      </vt:variant>
      <vt:variant>
        <vt:i4>0</vt:i4>
      </vt:variant>
      <vt:variant>
        <vt:i4>5</vt:i4>
      </vt:variant>
      <vt:variant>
        <vt:lpwstr/>
      </vt:variant>
      <vt:variant>
        <vt:lpwstr>_Toc82718313</vt:lpwstr>
      </vt:variant>
      <vt:variant>
        <vt:i4>1376310</vt:i4>
      </vt:variant>
      <vt:variant>
        <vt:i4>128</vt:i4>
      </vt:variant>
      <vt:variant>
        <vt:i4>0</vt:i4>
      </vt:variant>
      <vt:variant>
        <vt:i4>5</vt:i4>
      </vt:variant>
      <vt:variant>
        <vt:lpwstr/>
      </vt:variant>
      <vt:variant>
        <vt:lpwstr>_Toc82718312</vt:lpwstr>
      </vt:variant>
      <vt:variant>
        <vt:i4>1441846</vt:i4>
      </vt:variant>
      <vt:variant>
        <vt:i4>125</vt:i4>
      </vt:variant>
      <vt:variant>
        <vt:i4>0</vt:i4>
      </vt:variant>
      <vt:variant>
        <vt:i4>5</vt:i4>
      </vt:variant>
      <vt:variant>
        <vt:lpwstr/>
      </vt:variant>
      <vt:variant>
        <vt:lpwstr>_Toc82718311</vt:lpwstr>
      </vt:variant>
      <vt:variant>
        <vt:i4>3866703</vt:i4>
      </vt:variant>
      <vt:variant>
        <vt:i4>0</vt:i4>
      </vt:variant>
      <vt:variant>
        <vt:i4>0</vt:i4>
      </vt:variant>
      <vt:variant>
        <vt:i4>5</vt:i4>
      </vt:variant>
      <vt:variant>
        <vt:lpwstr>mailto:lei.bao@ericsson.com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2021-11-05T20:56:00Z</dcterms:created>
  <dcterms:modified xsi:type="dcterms:W3CDTF">2021-11-05T21:03:00Z</dcterms:modified>
  <cp:category/>
</cp:coreProperties>
</file>